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F11A3">
      <w:pPr>
        <w:snapToGrid w:val="0"/>
        <w:rPr>
          <w:rFonts w:hint="eastAsia" w:ascii="SimHei" w:hAnsi="SimHei" w:eastAsia="SimHei"/>
          <w:color w:val="000000" w:themeColor="text1"/>
          <w:sz w:val="32"/>
          <w:szCs w:val="32"/>
          <w:lang w:val="en-US" w:eastAsia="zh-CN"/>
          <w14:textFill>
            <w14:solidFill>
              <w14:schemeClr w14:val="tx1"/>
            </w14:solidFill>
          </w14:textFill>
        </w:rPr>
      </w:pPr>
    </w:p>
    <w:p w14:paraId="67D05818">
      <w:pPr>
        <w:snapToGrid w:val="0"/>
        <w:jc w:val="center"/>
        <w:rPr>
          <w:rFonts w:ascii="SimHei" w:hAnsi="SimHei" w:eastAsia="SimHei"/>
          <w:color w:val="000000" w:themeColor="text1"/>
          <w:sz w:val="52"/>
          <w:szCs w:val="52"/>
          <w14:textFill>
            <w14:solidFill>
              <w14:schemeClr w14:val="tx1"/>
            </w14:solidFill>
          </w14:textFill>
        </w:rPr>
      </w:pPr>
    </w:p>
    <w:p w14:paraId="21D3C44D">
      <w:pPr>
        <w:snapToGrid w:val="0"/>
        <w:jc w:val="center"/>
        <w:rPr>
          <w:rFonts w:ascii="SimHei" w:hAnsi="SimHei" w:eastAsia="SimHei"/>
          <w:color w:val="000000" w:themeColor="text1"/>
          <w:sz w:val="52"/>
          <w:szCs w:val="52"/>
          <w14:textFill>
            <w14:solidFill>
              <w14:schemeClr w14:val="tx1"/>
            </w14:solidFill>
          </w14:textFill>
        </w:rPr>
      </w:pPr>
    </w:p>
    <w:p w14:paraId="6E9B17B0">
      <w:pPr>
        <w:snapToGrid w:val="0"/>
        <w:jc w:val="center"/>
        <w:rPr>
          <w:rFonts w:ascii="SimHei" w:hAnsi="SimHei" w:eastAsia="SimHei"/>
          <w:color w:val="000000" w:themeColor="text1"/>
          <w:sz w:val="52"/>
          <w:szCs w:val="52"/>
          <w14:textFill>
            <w14:solidFill>
              <w14:schemeClr w14:val="tx1"/>
            </w14:solidFill>
          </w14:textFill>
        </w:rPr>
      </w:pPr>
    </w:p>
    <w:p w14:paraId="5B3DDDC4">
      <w:pPr>
        <w:snapToGrid w:val="0"/>
        <w:jc w:val="center"/>
        <w:rPr>
          <w:rFonts w:ascii="SimHei" w:hAnsi="SimHei" w:eastAsia="SimHei"/>
          <w:color w:val="000000" w:themeColor="text1"/>
          <w:sz w:val="52"/>
          <w:szCs w:val="52"/>
          <w14:textFill>
            <w14:solidFill>
              <w14:schemeClr w14:val="tx1"/>
            </w14:solidFill>
          </w14:textFill>
        </w:rPr>
      </w:pPr>
    </w:p>
    <w:p w14:paraId="58E2F263">
      <w:pPr>
        <w:snapToGrid w:val="0"/>
        <w:jc w:val="center"/>
        <w:rPr>
          <w:rFonts w:hint="eastAsia" w:ascii="SimHei" w:hAnsi="SimHei" w:eastAsia="SimHei"/>
          <w:color w:val="000000" w:themeColor="text1"/>
          <w:sz w:val="52"/>
          <w:szCs w:val="52"/>
          <w:lang w:val="en-US" w:eastAsia="zh-CN"/>
          <w14:textFill>
            <w14:solidFill>
              <w14:schemeClr w14:val="tx1"/>
            </w14:solidFill>
          </w14:textFill>
        </w:rPr>
      </w:pPr>
      <w:r>
        <w:rPr>
          <w:rFonts w:hint="eastAsia" w:ascii="SimHei" w:hAnsi="SimHei" w:eastAsia="SimHei"/>
          <w:color w:val="000000" w:themeColor="text1"/>
          <w:sz w:val="52"/>
          <w:szCs w:val="52"/>
          <w:lang w:val="en-US" w:eastAsia="zh-CN"/>
          <w14:textFill>
            <w14:solidFill>
              <w14:schemeClr w14:val="tx1"/>
            </w14:solidFill>
          </w14:textFill>
        </w:rPr>
        <w:t>航空发动机气态排放物(HC)测量</w:t>
      </w:r>
    </w:p>
    <w:p w14:paraId="004EBE3C">
      <w:pPr>
        <w:snapToGrid w:val="0"/>
        <w:jc w:val="center"/>
        <w:rPr>
          <w:rFonts w:hint="eastAsia" w:ascii="SimHei" w:hAnsi="SimHei" w:eastAsia="SimHei"/>
          <w:color w:val="000000" w:themeColor="text1"/>
          <w:sz w:val="52"/>
          <w:szCs w:val="52"/>
          <w:lang w:val="en-US" w:eastAsia="zh-CN"/>
          <w14:textFill>
            <w14:solidFill>
              <w14:schemeClr w14:val="tx1"/>
            </w14:solidFill>
          </w14:textFill>
        </w:rPr>
      </w:pPr>
      <w:r>
        <w:rPr>
          <w:rFonts w:hint="eastAsia" w:ascii="SimHei" w:hAnsi="SimHei" w:eastAsia="SimHei"/>
          <w:color w:val="000000" w:themeColor="text1"/>
          <w:sz w:val="52"/>
          <w:szCs w:val="52"/>
          <w:lang w:val="en-US" w:eastAsia="zh-CN"/>
          <w14:textFill>
            <w14:solidFill>
              <w14:schemeClr w14:val="tx1"/>
            </w14:solidFill>
          </w14:textFill>
        </w:rPr>
        <w:t>系统校准规范编制说明</w:t>
      </w:r>
    </w:p>
    <w:p w14:paraId="2F5DFB6D">
      <w:pPr>
        <w:snapToGrid w:val="0"/>
        <w:jc w:val="center"/>
        <w:rPr>
          <w:rFonts w:ascii="SimHei" w:hAnsi="SimHei" w:eastAsia="SimHei"/>
          <w:color w:val="000000" w:themeColor="text1"/>
          <w:sz w:val="28"/>
          <w:szCs w:val="28"/>
          <w14:textFill>
            <w14:solidFill>
              <w14:schemeClr w14:val="tx1"/>
            </w14:solidFill>
          </w14:textFill>
        </w:rPr>
      </w:pPr>
    </w:p>
    <w:p w14:paraId="034B3739">
      <w:pPr>
        <w:snapToGrid w:val="0"/>
        <w:jc w:val="center"/>
        <w:rPr>
          <w:rFonts w:ascii="SimHei" w:hAnsi="SimHei" w:eastAsia="SimHei"/>
          <w:color w:val="000000" w:themeColor="text1"/>
          <w:sz w:val="28"/>
          <w:szCs w:val="28"/>
          <w14:textFill>
            <w14:solidFill>
              <w14:schemeClr w14:val="tx1"/>
            </w14:solidFill>
          </w14:textFill>
        </w:rPr>
      </w:pPr>
    </w:p>
    <w:p w14:paraId="65B81F60">
      <w:pPr>
        <w:snapToGrid w:val="0"/>
        <w:jc w:val="center"/>
        <w:rPr>
          <w:rFonts w:ascii="SimHei" w:hAnsi="SimHei" w:eastAsia="SimHei"/>
          <w:color w:val="000000" w:themeColor="text1"/>
          <w:sz w:val="32"/>
          <w:szCs w:val="32"/>
          <w14:textFill>
            <w14:solidFill>
              <w14:schemeClr w14:val="tx1"/>
            </w14:solidFill>
          </w14:textFill>
        </w:rPr>
      </w:pPr>
    </w:p>
    <w:p w14:paraId="12D02020">
      <w:pPr>
        <w:snapToGrid w:val="0"/>
        <w:jc w:val="center"/>
        <w:rPr>
          <w:rFonts w:ascii="SimHei" w:hAnsi="SimHei" w:eastAsia="SimHei"/>
          <w:color w:val="000000" w:themeColor="text1"/>
          <w:sz w:val="28"/>
          <w:szCs w:val="28"/>
          <w14:textFill>
            <w14:solidFill>
              <w14:schemeClr w14:val="tx1"/>
            </w14:solidFill>
          </w14:textFill>
        </w:rPr>
      </w:pPr>
    </w:p>
    <w:p w14:paraId="2E1606DC">
      <w:pPr>
        <w:snapToGrid w:val="0"/>
        <w:jc w:val="center"/>
        <w:rPr>
          <w:rFonts w:ascii="SimHei" w:hAnsi="SimHei" w:eastAsia="SimHei"/>
          <w:color w:val="000000" w:themeColor="text1"/>
          <w:sz w:val="28"/>
          <w:szCs w:val="28"/>
          <w14:textFill>
            <w14:solidFill>
              <w14:schemeClr w14:val="tx1"/>
            </w14:solidFill>
          </w14:textFill>
        </w:rPr>
      </w:pPr>
    </w:p>
    <w:p w14:paraId="1621BE4F">
      <w:pPr>
        <w:snapToGrid w:val="0"/>
        <w:jc w:val="center"/>
        <w:rPr>
          <w:rFonts w:ascii="SimHei" w:hAnsi="SimHei" w:eastAsia="SimHei"/>
          <w:color w:val="000000" w:themeColor="text1"/>
          <w:sz w:val="28"/>
          <w:szCs w:val="28"/>
          <w14:textFill>
            <w14:solidFill>
              <w14:schemeClr w14:val="tx1"/>
            </w14:solidFill>
          </w14:textFill>
        </w:rPr>
      </w:pPr>
    </w:p>
    <w:p w14:paraId="52EA8E75">
      <w:pPr>
        <w:snapToGrid w:val="0"/>
        <w:jc w:val="center"/>
        <w:rPr>
          <w:rFonts w:ascii="SimHei" w:hAnsi="SimHei" w:eastAsia="SimHei"/>
          <w:color w:val="000000" w:themeColor="text1"/>
          <w:sz w:val="28"/>
          <w:szCs w:val="28"/>
          <w14:textFill>
            <w14:solidFill>
              <w14:schemeClr w14:val="tx1"/>
            </w14:solidFill>
          </w14:textFill>
        </w:rPr>
      </w:pPr>
    </w:p>
    <w:p w14:paraId="2F0959A6">
      <w:pPr>
        <w:snapToGrid w:val="0"/>
        <w:jc w:val="center"/>
        <w:rPr>
          <w:rFonts w:ascii="SimHei" w:hAnsi="SimHei" w:eastAsia="SimHei"/>
          <w:color w:val="000000" w:themeColor="text1"/>
          <w:sz w:val="28"/>
          <w:szCs w:val="28"/>
          <w14:textFill>
            <w14:solidFill>
              <w14:schemeClr w14:val="tx1"/>
            </w14:solidFill>
          </w14:textFill>
        </w:rPr>
      </w:pPr>
    </w:p>
    <w:p w14:paraId="424A59A8">
      <w:pPr>
        <w:snapToGrid w:val="0"/>
        <w:jc w:val="center"/>
        <w:rPr>
          <w:rFonts w:ascii="SimHei" w:hAnsi="SimHei" w:eastAsia="SimHei"/>
          <w:color w:val="000000" w:themeColor="text1"/>
          <w:sz w:val="28"/>
          <w:szCs w:val="28"/>
          <w14:textFill>
            <w14:solidFill>
              <w14:schemeClr w14:val="tx1"/>
            </w14:solidFill>
          </w14:textFill>
        </w:rPr>
      </w:pPr>
    </w:p>
    <w:p w14:paraId="1C58B6C8">
      <w:pPr>
        <w:snapToGrid w:val="0"/>
        <w:jc w:val="center"/>
        <w:rPr>
          <w:rFonts w:ascii="SimHei" w:hAnsi="SimHei" w:eastAsia="SimHei"/>
          <w:color w:val="000000" w:themeColor="text1"/>
          <w:sz w:val="28"/>
          <w:szCs w:val="28"/>
          <w14:textFill>
            <w14:solidFill>
              <w14:schemeClr w14:val="tx1"/>
            </w14:solidFill>
          </w14:textFill>
        </w:rPr>
      </w:pPr>
    </w:p>
    <w:p w14:paraId="4406EF9E">
      <w:pPr>
        <w:snapToGrid w:val="0"/>
        <w:jc w:val="center"/>
        <w:rPr>
          <w:rFonts w:ascii="SimHei" w:hAnsi="SimHei" w:eastAsia="SimHei"/>
          <w:color w:val="000000" w:themeColor="text1"/>
          <w:sz w:val="28"/>
          <w:szCs w:val="28"/>
          <w14:textFill>
            <w14:solidFill>
              <w14:schemeClr w14:val="tx1"/>
            </w14:solidFill>
          </w14:textFill>
        </w:rPr>
      </w:pPr>
    </w:p>
    <w:p w14:paraId="34DECAE5">
      <w:pPr>
        <w:snapToGrid w:val="0"/>
        <w:jc w:val="center"/>
        <w:rPr>
          <w:rFonts w:ascii="SimHei" w:hAnsi="SimHei" w:eastAsia="SimHei"/>
          <w:color w:val="000000" w:themeColor="text1"/>
          <w:sz w:val="28"/>
          <w:szCs w:val="28"/>
          <w14:textFill>
            <w14:solidFill>
              <w14:schemeClr w14:val="tx1"/>
            </w14:solidFill>
          </w14:textFill>
        </w:rPr>
      </w:pPr>
    </w:p>
    <w:p w14:paraId="5EC6A0FE">
      <w:pPr>
        <w:snapToGrid w:val="0"/>
        <w:jc w:val="center"/>
        <w:rPr>
          <w:rFonts w:ascii="SimHei" w:hAnsi="SimHei" w:eastAsia="SimHei"/>
          <w:color w:val="000000" w:themeColor="text1"/>
          <w:sz w:val="28"/>
          <w:szCs w:val="28"/>
          <w14:textFill>
            <w14:solidFill>
              <w14:schemeClr w14:val="tx1"/>
            </w14:solidFill>
          </w14:textFill>
        </w:rPr>
      </w:pPr>
    </w:p>
    <w:p w14:paraId="371DA6A8">
      <w:pPr>
        <w:snapToGrid w:val="0"/>
        <w:jc w:val="center"/>
        <w:rPr>
          <w:rFonts w:ascii="SimHei" w:hAnsi="SimHei" w:eastAsia="SimHei"/>
          <w:color w:val="000000" w:themeColor="text1"/>
          <w:sz w:val="28"/>
          <w:szCs w:val="28"/>
          <w14:textFill>
            <w14:solidFill>
              <w14:schemeClr w14:val="tx1"/>
            </w14:solidFill>
          </w14:textFill>
        </w:rPr>
      </w:pPr>
    </w:p>
    <w:p w14:paraId="1569EC39">
      <w:pPr>
        <w:snapToGrid w:val="0"/>
        <w:jc w:val="both"/>
        <w:rPr>
          <w:rFonts w:ascii="SimHei" w:hAnsi="SimHei" w:eastAsia="SimHei"/>
          <w:color w:val="000000" w:themeColor="text1"/>
          <w:sz w:val="28"/>
          <w:szCs w:val="28"/>
          <w14:textFill>
            <w14:solidFill>
              <w14:schemeClr w14:val="tx1"/>
            </w14:solidFill>
          </w14:textFill>
        </w:rPr>
      </w:pPr>
    </w:p>
    <w:p w14:paraId="428DCDD7">
      <w:pPr>
        <w:snapToGrid w:val="0"/>
        <w:jc w:val="center"/>
        <w:rPr>
          <w:rFonts w:ascii="SimHei" w:hAnsi="SimHei" w:eastAsia="SimHei"/>
          <w:color w:val="000000" w:themeColor="text1"/>
          <w:sz w:val="28"/>
          <w:szCs w:val="28"/>
          <w14:textFill>
            <w14:solidFill>
              <w14:schemeClr w14:val="tx1"/>
            </w14:solidFill>
          </w14:textFill>
        </w:rPr>
      </w:pPr>
    </w:p>
    <w:p w14:paraId="77B2E9DD">
      <w:pPr>
        <w:snapToGrid w:val="0"/>
        <w:jc w:val="center"/>
        <w:rPr>
          <w:rFonts w:ascii="SimHei" w:hAnsi="SimHei" w:eastAsia="SimHei"/>
          <w:color w:val="000000" w:themeColor="text1"/>
          <w:sz w:val="28"/>
          <w:szCs w:val="28"/>
          <w14:textFill>
            <w14:solidFill>
              <w14:schemeClr w14:val="tx1"/>
            </w14:solidFill>
          </w14:textFill>
        </w:rPr>
      </w:pPr>
    </w:p>
    <w:p w14:paraId="65A48663">
      <w:pPr>
        <w:snapToGrid w:val="0"/>
        <w:jc w:val="center"/>
        <w:rPr>
          <w:rFonts w:ascii="SimHei" w:hAnsi="SimHei" w:eastAsia="SimHei"/>
          <w:color w:val="000000" w:themeColor="text1"/>
          <w:sz w:val="28"/>
          <w:szCs w:val="28"/>
          <w14:textFill>
            <w14:solidFill>
              <w14:schemeClr w14:val="tx1"/>
            </w14:solidFill>
          </w14:textFill>
        </w:rPr>
      </w:pPr>
    </w:p>
    <w:p w14:paraId="6B2034A7">
      <w:pPr>
        <w:snapToGrid w:val="0"/>
        <w:jc w:val="center"/>
        <w:rPr>
          <w:rFonts w:ascii="SimHei" w:hAnsi="SimHei" w:eastAsia="SimHei"/>
          <w:color w:val="000000" w:themeColor="text1"/>
          <w:sz w:val="28"/>
          <w:szCs w:val="28"/>
          <w14:textFill>
            <w14:solidFill>
              <w14:schemeClr w14:val="tx1"/>
            </w14:solidFill>
          </w14:textFill>
        </w:rPr>
      </w:pPr>
    </w:p>
    <w:p w14:paraId="6914590B">
      <w:pPr>
        <w:snapToGrid w:val="0"/>
        <w:jc w:val="center"/>
        <w:rPr>
          <w:rFonts w:hint="eastAsia" w:ascii="SimHei" w:hAnsi="SimHei" w:eastAsia="SimHei"/>
          <w:color w:val="000000" w:themeColor="text1"/>
          <w:sz w:val="28"/>
          <w:szCs w:val="28"/>
          <w14:textFill>
            <w14:solidFill>
              <w14:schemeClr w14:val="tx1"/>
            </w14:solidFill>
          </w14:textFill>
        </w:rPr>
      </w:pPr>
      <w:r>
        <w:rPr>
          <w:rFonts w:ascii="SimHei" w:hAnsi="SimHei" w:eastAsia="SimHei"/>
          <w:color w:val="000000" w:themeColor="text1"/>
          <w:sz w:val="28"/>
          <w:szCs w:val="28"/>
          <w14:textFill>
            <w14:solidFill>
              <w14:schemeClr w14:val="tx1"/>
            </w14:solidFill>
          </w14:textFill>
        </w:rPr>
        <w:t>20</w:t>
      </w:r>
      <w:r>
        <w:rPr>
          <w:rFonts w:hint="eastAsia" w:ascii="SimHei" w:hAnsi="SimHei" w:eastAsia="SimHei"/>
          <w:color w:val="000000" w:themeColor="text1"/>
          <w:sz w:val="28"/>
          <w:szCs w:val="28"/>
          <w:lang w:val="en-US" w:eastAsia="zh-CN"/>
          <w14:textFill>
            <w14:solidFill>
              <w14:schemeClr w14:val="tx1"/>
            </w14:solidFill>
          </w14:textFill>
        </w:rPr>
        <w:t>24</w:t>
      </w:r>
      <w:r>
        <w:rPr>
          <w:rFonts w:hint="eastAsia" w:ascii="SimHei" w:hAnsi="SimHei" w:eastAsia="SimHei"/>
          <w:color w:val="000000" w:themeColor="text1"/>
          <w:sz w:val="28"/>
          <w:szCs w:val="28"/>
          <w14:textFill>
            <w14:solidFill>
              <w14:schemeClr w14:val="tx1"/>
            </w14:solidFill>
          </w14:textFill>
        </w:rPr>
        <w:t>年</w:t>
      </w:r>
      <w:r>
        <w:rPr>
          <w:rFonts w:hint="eastAsia" w:ascii="SimHei" w:hAnsi="SimHei" w:eastAsia="SimHei"/>
          <w:color w:val="000000" w:themeColor="text1"/>
          <w:sz w:val="28"/>
          <w:szCs w:val="28"/>
          <w:lang w:val="en-US" w:eastAsia="zh-CN"/>
          <w14:textFill>
            <w14:solidFill>
              <w14:schemeClr w14:val="tx1"/>
            </w14:solidFill>
          </w14:textFill>
        </w:rPr>
        <w:t>12</w:t>
      </w:r>
      <w:r>
        <w:rPr>
          <w:rFonts w:hint="eastAsia" w:ascii="SimHei" w:hAnsi="SimHei" w:eastAsia="SimHei"/>
          <w:color w:val="000000" w:themeColor="text1"/>
          <w:sz w:val="28"/>
          <w:szCs w:val="28"/>
          <w14:textFill>
            <w14:solidFill>
              <w14:schemeClr w14:val="tx1"/>
            </w14:solidFill>
          </w14:textFill>
        </w:rPr>
        <w:t>月</w:t>
      </w:r>
    </w:p>
    <w:p w14:paraId="0E3C5BF6">
      <w:pPr>
        <w:snapToGrid w:val="0"/>
        <w:jc w:val="center"/>
        <w:rPr>
          <w:rFonts w:hint="default" w:ascii="SimHei" w:hAnsi="SimHei" w:eastAsia="SimHei"/>
          <w:color w:val="000000" w:themeColor="text1"/>
          <w:sz w:val="28"/>
          <w:szCs w:val="28"/>
          <w:lang w:val="en-US" w:eastAsia="zh-CN"/>
          <w14:textFill>
            <w14:solidFill>
              <w14:schemeClr w14:val="tx1"/>
            </w14:solidFill>
          </w14:textFill>
        </w:rPr>
      </w:pPr>
      <w:r>
        <w:rPr>
          <w:rFonts w:hint="eastAsia" w:ascii="SimHei" w:hAnsi="SimHei" w:eastAsia="SimHei"/>
          <w:color w:val="000000" w:themeColor="text1"/>
          <w:sz w:val="28"/>
          <w:szCs w:val="28"/>
          <w14:textFill>
            <w14:solidFill>
              <w14:schemeClr w14:val="tx1"/>
            </w14:solidFill>
          </w14:textFill>
        </w:rPr>
        <w:t>中国</w:t>
      </w:r>
      <w:r>
        <w:rPr>
          <w:rFonts w:hint="eastAsia" w:ascii="SimHei" w:hAnsi="SimHei" w:eastAsia="SimHei"/>
          <w:color w:val="000000" w:themeColor="text1"/>
          <w:sz w:val="28"/>
          <w:szCs w:val="28"/>
          <w:lang w:eastAsia="zh-CN"/>
          <w14:textFill>
            <w14:solidFill>
              <w14:schemeClr w14:val="tx1"/>
            </w14:solidFill>
          </w14:textFill>
        </w:rPr>
        <w:t>航发</w:t>
      </w:r>
      <w:r>
        <w:rPr>
          <w:rFonts w:hint="eastAsia" w:ascii="SimHei" w:hAnsi="SimHei" w:eastAsia="SimHei"/>
          <w:color w:val="000000" w:themeColor="text1"/>
          <w:sz w:val="28"/>
          <w:szCs w:val="28"/>
          <w:lang w:val="en-US" w:eastAsia="zh-CN"/>
          <w14:textFill>
            <w14:solidFill>
              <w14:schemeClr w14:val="tx1"/>
            </w14:solidFill>
          </w14:textFill>
        </w:rPr>
        <w:t>商用航空发动机有限责任公司</w:t>
      </w:r>
    </w:p>
    <w:p w14:paraId="6D7314D2">
      <w:pPr>
        <w:widowControl/>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br w:type="page"/>
      </w:r>
    </w:p>
    <w:p w14:paraId="1AAA327A">
      <w:pPr>
        <w:adjustRightInd w:val="0"/>
        <w:jc w:val="center"/>
        <w:rPr>
          <w:rFonts w:hint="eastAsia" w:ascii="Times New Roman" w:hAnsi="Times New Roman" w:eastAsia="SimHei"/>
          <w:color w:val="000000" w:themeColor="text1"/>
          <w:sz w:val="32"/>
          <w:szCs w:val="20"/>
          <w:lang w:eastAsia="zh-CN"/>
          <w14:textFill>
            <w14:solidFill>
              <w14:schemeClr w14:val="tx1"/>
            </w14:solidFill>
          </w14:textFill>
        </w:rPr>
      </w:pPr>
      <w:r>
        <w:rPr>
          <w:rFonts w:hint="default" w:ascii="Times New Roman" w:hAnsi="Times New Roman" w:eastAsia="SimHei"/>
          <w:color w:val="000000" w:themeColor="text1"/>
          <w:sz w:val="32"/>
          <w:szCs w:val="20"/>
          <w14:textFill>
            <w14:solidFill>
              <w14:schemeClr w14:val="tx1"/>
            </w14:solidFill>
          </w14:textFill>
        </w:rPr>
        <w:t>航空发动机气态排放物(HC)测量系统</w:t>
      </w:r>
      <w:r>
        <w:rPr>
          <w:rFonts w:hint="eastAsia" w:ascii="Times New Roman" w:hAnsi="Times New Roman" w:eastAsia="SimHei"/>
          <w:color w:val="000000" w:themeColor="text1"/>
          <w:sz w:val="32"/>
          <w:szCs w:val="20"/>
          <w:lang w:eastAsia="zh-CN"/>
          <w14:textFill>
            <w14:solidFill>
              <w14:schemeClr w14:val="tx1"/>
            </w14:solidFill>
          </w14:textFill>
        </w:rPr>
        <w:t>校准规范编制说明</w:t>
      </w:r>
    </w:p>
    <w:p w14:paraId="0502DE4E">
      <w:pPr>
        <w:adjustRightInd w:val="0"/>
        <w:snapToGrid w:val="0"/>
        <w:spacing w:before="143" w:beforeLines="50" w:after="143" w:afterLines="50"/>
        <w:outlineLvl w:val="0"/>
        <w:rPr>
          <w:rFonts w:ascii="SimHei" w:hAnsi="SimHei" w:eastAsia="SimHei"/>
          <w:color w:val="000000" w:themeColor="text1"/>
          <w:sz w:val="32"/>
          <w:szCs w:val="24"/>
          <w14:textFill>
            <w14:solidFill>
              <w14:schemeClr w14:val="tx1"/>
            </w14:solidFill>
          </w14:textFill>
        </w:rPr>
      </w:pPr>
      <w:r>
        <w:rPr>
          <w:rFonts w:hint="eastAsia" w:ascii="SimHei" w:hAnsi="SimHei" w:eastAsia="SimHei"/>
          <w:color w:val="000000" w:themeColor="text1"/>
          <w:sz w:val="32"/>
          <w:szCs w:val="24"/>
          <w14:textFill>
            <w14:solidFill>
              <w14:schemeClr w14:val="tx1"/>
            </w14:solidFill>
          </w14:textFill>
        </w:rPr>
        <w:t>一、</w:t>
      </w:r>
      <w:r>
        <w:rPr>
          <w:rFonts w:ascii="SimHei" w:hAnsi="SimHei" w:eastAsia="SimHei"/>
          <w:color w:val="000000" w:themeColor="text1"/>
          <w:sz w:val="32"/>
          <w:szCs w:val="24"/>
          <w14:textFill>
            <w14:solidFill>
              <w14:schemeClr w14:val="tx1"/>
            </w14:solidFill>
          </w14:textFill>
        </w:rPr>
        <w:t>任务来源及计划要求</w:t>
      </w:r>
    </w:p>
    <w:p w14:paraId="422B2A74">
      <w:pPr>
        <w:pStyle w:val="36"/>
        <w:snapToGrid w:val="0"/>
        <w:spacing w:line="300" w:lineRule="auto"/>
        <w:ind w:firstLine="488"/>
        <w:jc w:val="both"/>
        <w:rPr>
          <w:rFonts w:hint="eastAsia" w:ascii="Times New Roman" w:hAnsi="Times New Roman"/>
        </w:rPr>
      </w:pPr>
      <w:r>
        <w:rPr>
          <w:rFonts w:hint="eastAsia" w:ascii="Times New Roman" w:hAnsi="Times New Roman"/>
        </w:rPr>
        <w:t>《航空发动机气态排放物(HC)测量系统</w:t>
      </w:r>
      <w:r>
        <w:rPr>
          <w:rFonts w:hint="default" w:ascii="Times New Roman" w:hAnsi="Times New Roman"/>
        </w:rPr>
        <w:t>校准</w:t>
      </w:r>
      <w:r>
        <w:rPr>
          <w:rFonts w:hint="eastAsia" w:ascii="Times New Roman" w:hAnsi="Times New Roman"/>
          <w:lang w:val="en-US" w:eastAsia="zh-CN"/>
        </w:rPr>
        <w:t>规范</w:t>
      </w:r>
      <w:r>
        <w:rPr>
          <w:rFonts w:hint="eastAsia" w:ascii="Times New Roman" w:hAnsi="Times New Roman"/>
        </w:rPr>
        <w:t>（标准</w:t>
      </w:r>
      <w:r>
        <w:rPr>
          <w:rFonts w:hint="eastAsia" w:ascii="Times New Roman" w:hAnsi="Times New Roman"/>
          <w:lang w:val="en-US" w:eastAsia="zh-CN"/>
        </w:rPr>
        <w:t>立项</w:t>
      </w:r>
      <w:r>
        <w:rPr>
          <w:rFonts w:hint="eastAsia" w:ascii="Times New Roman" w:hAnsi="Times New Roman"/>
        </w:rPr>
        <w:t>名称）》标准的</w:t>
      </w:r>
      <w:r>
        <w:rPr>
          <w:rFonts w:hint="eastAsia" w:ascii="Times New Roman" w:hAnsi="Times New Roman"/>
          <w:lang w:val="en-US" w:eastAsia="zh-CN"/>
        </w:rPr>
        <w:t>编制</w:t>
      </w:r>
      <w:r>
        <w:rPr>
          <w:rFonts w:hint="eastAsia" w:ascii="Times New Roman" w:hAnsi="Times New Roman"/>
        </w:rPr>
        <w:t>计划由</w:t>
      </w:r>
      <w:r>
        <w:rPr>
          <w:rFonts w:hint="eastAsia" w:ascii="Times New Roman" w:hAnsi="Times New Roman"/>
          <w:lang w:val="en-US" w:eastAsia="zh-CN"/>
        </w:rPr>
        <w:t>市场监管总局办公厅印发《2024年国家计量技术规范制定、修订计划》</w:t>
      </w:r>
      <w:r>
        <w:rPr>
          <w:rFonts w:hint="eastAsia" w:ascii="Times New Roman" w:hAnsi="Times New Roman"/>
        </w:rPr>
        <w:t>，</w:t>
      </w:r>
      <w:r>
        <w:rPr>
          <w:rFonts w:hint="eastAsia" w:ascii="Times New Roman" w:hAnsi="Times New Roman"/>
          <w:lang w:val="en-US" w:eastAsia="zh-CN"/>
        </w:rPr>
        <w:t>公文号</w:t>
      </w:r>
      <w:r>
        <w:rPr>
          <w:rFonts w:hint="eastAsia" w:ascii="Times New Roman" w:hAnsi="Times New Roman"/>
        </w:rPr>
        <w:t>市监计量发〔2024〕40号，计划序号为第</w:t>
      </w:r>
      <w:r>
        <w:rPr>
          <w:rFonts w:hint="eastAsia" w:ascii="Times New Roman" w:hAnsi="Times New Roman"/>
          <w:lang w:val="en-US" w:eastAsia="zh-CN"/>
        </w:rPr>
        <w:t>275</w:t>
      </w:r>
      <w:r>
        <w:rPr>
          <w:rFonts w:hint="eastAsia" w:ascii="Times New Roman" w:hAnsi="Times New Roman"/>
        </w:rPr>
        <w:t>项，计划名称为《航空发动机气态排放物(HC)测量系统</w:t>
      </w:r>
      <w:r>
        <w:rPr>
          <w:rFonts w:hint="default" w:ascii="Times New Roman" w:hAnsi="Times New Roman"/>
        </w:rPr>
        <w:t>校准</w:t>
      </w:r>
      <w:r>
        <w:rPr>
          <w:rFonts w:hint="eastAsia" w:ascii="Times New Roman" w:hAnsi="Times New Roman"/>
          <w:lang w:val="en-US" w:eastAsia="zh-CN"/>
        </w:rPr>
        <w:t>规范</w:t>
      </w:r>
      <w:r>
        <w:rPr>
          <w:rFonts w:hint="eastAsia" w:ascii="Times New Roman" w:hAnsi="Times New Roman"/>
        </w:rPr>
        <w:t>（标准计划名称）》。根据工作安排，本标准由</w:t>
      </w:r>
      <w:r>
        <w:rPr>
          <w:rFonts w:hint="eastAsia" w:ascii="Times New Roman" w:hAnsi="Times New Roman"/>
          <w:lang w:val="en-US" w:eastAsia="zh-CN"/>
        </w:rPr>
        <w:t>中国航发商发等</w:t>
      </w:r>
      <w:r>
        <w:rPr>
          <w:rFonts w:hint="eastAsia" w:ascii="Times New Roman" w:hAnsi="Times New Roman"/>
        </w:rPr>
        <w:t>主编，编制周期为20</w:t>
      </w:r>
      <w:r>
        <w:rPr>
          <w:rFonts w:hint="eastAsia" w:ascii="Times New Roman" w:hAnsi="Times New Roman"/>
          <w:lang w:val="en-US" w:eastAsia="zh-CN"/>
        </w:rPr>
        <w:t>24</w:t>
      </w:r>
      <w:r>
        <w:rPr>
          <w:rFonts w:hint="eastAsia" w:ascii="Times New Roman" w:hAnsi="Times New Roman"/>
        </w:rPr>
        <w:t>年</w:t>
      </w:r>
      <w:r>
        <w:rPr>
          <w:rFonts w:hint="eastAsia" w:ascii="Times New Roman" w:hAnsi="Times New Roman"/>
          <w:lang w:val="en-US" w:eastAsia="zh-CN"/>
        </w:rPr>
        <w:t>1</w:t>
      </w:r>
      <w:r>
        <w:rPr>
          <w:rFonts w:hint="eastAsia" w:ascii="Times New Roman" w:hAnsi="Times New Roman"/>
        </w:rPr>
        <w:t>月至20</w:t>
      </w:r>
      <w:r>
        <w:rPr>
          <w:rFonts w:hint="eastAsia" w:ascii="Times New Roman" w:hAnsi="Times New Roman"/>
          <w:lang w:val="en-US" w:eastAsia="zh-CN"/>
        </w:rPr>
        <w:t>25</w:t>
      </w:r>
      <w:r>
        <w:rPr>
          <w:rFonts w:hint="eastAsia" w:ascii="Times New Roman" w:hAnsi="Times New Roman"/>
        </w:rPr>
        <w:t>年</w:t>
      </w:r>
      <w:r>
        <w:rPr>
          <w:rFonts w:hint="eastAsia" w:ascii="Times New Roman" w:hAnsi="Times New Roman"/>
          <w:lang w:val="en-US" w:eastAsia="zh-CN"/>
        </w:rPr>
        <w:t>12</w:t>
      </w:r>
      <w:r>
        <w:rPr>
          <w:rFonts w:hint="eastAsia" w:ascii="Times New Roman" w:hAnsi="Times New Roman"/>
        </w:rPr>
        <w:t>月。</w:t>
      </w:r>
    </w:p>
    <w:p w14:paraId="13A0B772">
      <w:pPr>
        <w:pStyle w:val="36"/>
        <w:snapToGrid w:val="0"/>
        <w:spacing w:line="300" w:lineRule="auto"/>
        <w:ind w:firstLine="488"/>
        <w:jc w:val="both"/>
        <w:rPr>
          <w:rFonts w:hint="eastAsia" w:ascii="Times New Roman" w:hAnsi="Times New Roman"/>
        </w:rPr>
      </w:pPr>
      <w:r>
        <w:rPr>
          <w:rFonts w:hint="eastAsia" w:ascii="Times New Roman" w:hAnsi="Times New Roman"/>
        </w:rPr>
        <w:t>需求来源：民用航空发动机的排放标准是由国际民航组织(简称ICAO)颁布</w:t>
      </w:r>
      <w:r>
        <w:rPr>
          <w:rFonts w:hint="eastAsia" w:ascii="Times New Roman" w:hAnsi="Times New Roman"/>
          <w:lang w:eastAsia="zh-CN"/>
        </w:rPr>
        <w:t>，</w:t>
      </w:r>
      <w:r>
        <w:rPr>
          <w:rFonts w:hint="eastAsia" w:ascii="Times New Roman" w:hAnsi="Times New Roman"/>
          <w:lang w:val="en-US" w:eastAsia="zh-CN"/>
        </w:rPr>
        <w:t>航空发动机排放审定包括烟、</w:t>
      </w:r>
      <w:r>
        <w:rPr>
          <w:rFonts w:hint="eastAsia" w:ascii="Times New Roman" w:hAnsi="Times New Roman"/>
        </w:rPr>
        <w:t>气态排放物（一氧化碳（CO）、二氧化碳（CO</w:t>
      </w:r>
      <w:r>
        <w:rPr>
          <w:rFonts w:hint="eastAsia" w:ascii="Times New Roman" w:hAnsi="Times New Roman"/>
          <w:vertAlign w:val="subscript"/>
        </w:rPr>
        <w:t>2</w:t>
      </w:r>
      <w:r>
        <w:rPr>
          <w:rFonts w:hint="eastAsia" w:ascii="Times New Roman" w:hAnsi="Times New Roman"/>
        </w:rPr>
        <w:t>）未燃碳氢化合物（UHC）、氮氧化物（NOx））</w:t>
      </w:r>
      <w:r>
        <w:rPr>
          <w:rFonts w:hint="eastAsia" w:ascii="Times New Roman" w:hAnsi="Times New Roman"/>
          <w:lang w:val="en-US" w:eastAsia="zh-CN"/>
        </w:rPr>
        <w:t>和非挥发颗粒物，</w:t>
      </w:r>
      <w:r>
        <w:rPr>
          <w:rFonts w:hint="eastAsia" w:ascii="Times New Roman" w:hAnsi="Times New Roman"/>
        </w:rPr>
        <w:t>国内航空发动机目前面临着气态排放物测量系统</w:t>
      </w:r>
      <w:r>
        <w:rPr>
          <w:rFonts w:hint="eastAsia" w:ascii="Times New Roman" w:hAnsi="Times New Roman"/>
          <w:lang w:val="en-US" w:eastAsia="zh-CN"/>
        </w:rPr>
        <w:t>校准方法不统一、不满足适航规章技术参数的问题，CCAR—34部和国际民航组织(ICAO)附件</w:t>
      </w:r>
      <w:r>
        <w:rPr>
          <w:rFonts w:hint="eastAsia" w:ascii="Times New Roman" w:hAnsi="Times New Roman"/>
        </w:rPr>
        <w:t>16《环境保护》第Ⅱ卷</w:t>
      </w:r>
      <w:r>
        <w:rPr>
          <w:rFonts w:hint="eastAsia" w:ascii="Times New Roman" w:hAnsi="Times New Roman"/>
          <w:lang w:val="en-US" w:eastAsia="zh-CN"/>
        </w:rPr>
        <w:t>——</w:t>
      </w:r>
      <w:r>
        <w:rPr>
          <w:rFonts w:hint="eastAsia" w:ascii="Times New Roman" w:hAnsi="Times New Roman"/>
        </w:rPr>
        <w:t>航空器发动机的排放物</w:t>
      </w:r>
      <w:r>
        <w:rPr>
          <w:rFonts w:hint="eastAsia" w:ascii="Times New Roman" w:hAnsi="Times New Roman"/>
          <w:lang w:val="en-US" w:eastAsia="zh-CN"/>
        </w:rPr>
        <w:t>等标准中规定了气态排出物测量仪器的规格与计量特性，包括不限于重复性、零点漂移、稳定度、响应时间、线性度、噪声、协同效应干扰等参数，其中，线性度、协同效应、干扰噪声无现行有效计量技术规范或校准方法</w:t>
      </w:r>
      <w:r>
        <w:rPr>
          <w:rFonts w:hint="eastAsia" w:ascii="Times New Roman" w:hAnsi="Times New Roman"/>
        </w:rPr>
        <w:t>。</w:t>
      </w:r>
    </w:p>
    <w:p w14:paraId="5072D689">
      <w:pPr>
        <w:pStyle w:val="36"/>
        <w:snapToGrid w:val="0"/>
        <w:spacing w:line="300" w:lineRule="auto"/>
        <w:ind w:firstLine="488"/>
        <w:jc w:val="both"/>
        <w:rPr>
          <w:rFonts w:hint="eastAsia" w:ascii="Times New Roman" w:hAnsi="Times New Roman"/>
        </w:rPr>
      </w:pPr>
      <w:r>
        <w:rPr>
          <w:rFonts w:hint="eastAsia" w:ascii="Times New Roman" w:hAnsi="Times New Roman"/>
        </w:rPr>
        <w:t>本标准编制组</w:t>
      </w:r>
      <w:r>
        <w:rPr>
          <w:rFonts w:hint="eastAsia" w:ascii="Times New Roman" w:hAnsi="Times New Roman"/>
          <w:lang w:val="en-US" w:eastAsia="zh-CN"/>
        </w:rPr>
        <w:t>针对航空发动机</w:t>
      </w:r>
      <w:r>
        <w:rPr>
          <w:rFonts w:hint="eastAsia" w:ascii="Times New Roman" w:hAnsi="Times New Roman"/>
        </w:rPr>
        <w:t>气态排放物</w:t>
      </w:r>
      <w:r>
        <w:rPr>
          <w:rFonts w:hint="eastAsia" w:ascii="Times New Roman" w:hAnsi="Times New Roman"/>
          <w:lang w:val="en-US" w:eastAsia="zh-CN"/>
        </w:rPr>
        <w:t>中碳氢化合物测量系统校准方法缺失、校准方法不统一等现状，</w:t>
      </w:r>
      <w:r>
        <w:rPr>
          <w:rFonts w:hint="eastAsia" w:ascii="Times New Roman" w:hAnsi="Times New Roman"/>
        </w:rPr>
        <w:t>开展</w:t>
      </w:r>
      <w:r>
        <w:rPr>
          <w:rFonts w:hint="eastAsia" w:ascii="Times New Roman" w:hAnsi="Times New Roman"/>
          <w:lang w:val="en-US" w:eastAsia="zh-CN"/>
        </w:rPr>
        <w:t>了气态污染物排放测量仪对于实际工况下多种气体交叉干扰校准技术</w:t>
      </w:r>
      <w:r>
        <w:rPr>
          <w:rFonts w:hint="eastAsia" w:ascii="Times New Roman" w:hAnsi="Times New Roman"/>
        </w:rPr>
        <w:t>研究，通过制订本标准，能够</w:t>
      </w:r>
      <w:r>
        <w:rPr>
          <w:rFonts w:hint="eastAsia" w:ascii="Times New Roman" w:hAnsi="Times New Roman"/>
          <w:lang w:val="en-US" w:eastAsia="zh-CN"/>
        </w:rPr>
        <w:t>填补航空发动机气态排出物(HC)测量系统协同效应、噪声、线性度等校准方法的空白</w:t>
      </w:r>
      <w:r>
        <w:rPr>
          <w:rFonts w:hint="eastAsia" w:ascii="Times New Roman" w:hAnsi="Times New Roman"/>
        </w:rPr>
        <w:t>，有效支撑航空发动机</w:t>
      </w:r>
      <w:r>
        <w:rPr>
          <w:rFonts w:hint="eastAsia" w:ascii="Times New Roman" w:hAnsi="Times New Roman"/>
          <w:lang w:val="en-US" w:eastAsia="zh-CN"/>
        </w:rPr>
        <w:t>气态排放物测量</w:t>
      </w:r>
      <w:r>
        <w:rPr>
          <w:rFonts w:hint="eastAsia" w:ascii="Times New Roman" w:hAnsi="Times New Roman"/>
        </w:rPr>
        <w:t>数据测量结果</w:t>
      </w:r>
      <w:r>
        <w:rPr>
          <w:rFonts w:hint="eastAsia" w:ascii="Times New Roman" w:hAnsi="Times New Roman"/>
          <w:lang w:val="en-US" w:eastAsia="zh-CN"/>
        </w:rPr>
        <w:t>的准确性和有效性</w:t>
      </w:r>
      <w:r>
        <w:rPr>
          <w:rFonts w:hint="eastAsia" w:ascii="Times New Roman" w:hAnsi="Times New Roman"/>
        </w:rPr>
        <w:t>，为航空发动机</w:t>
      </w:r>
      <w:r>
        <w:rPr>
          <w:rFonts w:hint="default" w:ascii="Times New Roman" w:hAnsi="Times New Roman"/>
          <w:lang w:val="en-US" w:eastAsia="zh-CN"/>
        </w:rPr>
        <w:t>适航审定工作</w:t>
      </w:r>
      <w:r>
        <w:rPr>
          <w:rFonts w:hint="eastAsia" w:ascii="Times New Roman" w:hAnsi="Times New Roman"/>
        </w:rPr>
        <w:t>提供</w:t>
      </w:r>
      <w:r>
        <w:rPr>
          <w:rFonts w:hint="eastAsia" w:ascii="Times New Roman" w:hAnsi="Times New Roman"/>
          <w:lang w:val="en-US" w:eastAsia="zh-CN"/>
        </w:rPr>
        <w:t>量值溯源有效性</w:t>
      </w:r>
      <w:r>
        <w:rPr>
          <w:rFonts w:hint="eastAsia" w:ascii="Times New Roman" w:hAnsi="Times New Roman"/>
        </w:rPr>
        <w:t>依据。</w:t>
      </w:r>
    </w:p>
    <w:p w14:paraId="1D13C59D">
      <w:pPr>
        <w:adjustRightInd w:val="0"/>
        <w:snapToGrid w:val="0"/>
        <w:spacing w:before="143" w:beforeLines="50" w:after="143" w:afterLines="50"/>
        <w:outlineLvl w:val="0"/>
        <w:rPr>
          <w:rFonts w:hint="eastAsia" w:ascii="SimHei" w:hAnsi="SimHei" w:eastAsia="SimHei"/>
          <w:color w:val="000000" w:themeColor="text1"/>
          <w:sz w:val="32"/>
          <w:szCs w:val="24"/>
          <w14:textFill>
            <w14:solidFill>
              <w14:schemeClr w14:val="tx1"/>
            </w14:solidFill>
          </w14:textFill>
        </w:rPr>
      </w:pPr>
      <w:r>
        <w:rPr>
          <w:rFonts w:hint="eastAsia" w:ascii="SimHei" w:hAnsi="SimHei" w:eastAsia="SimHei"/>
          <w:color w:val="000000" w:themeColor="text1"/>
          <w:sz w:val="32"/>
          <w:szCs w:val="24"/>
          <w:lang w:val="en-US" w:eastAsia="zh-CN"/>
          <w14:textFill>
            <w14:solidFill>
              <w14:schemeClr w14:val="tx1"/>
            </w14:solidFill>
          </w14:textFill>
        </w:rPr>
        <w:t>二、</w:t>
      </w:r>
      <w:r>
        <w:rPr>
          <w:rFonts w:hint="eastAsia" w:ascii="SimHei" w:hAnsi="SimHei" w:eastAsia="SimHei"/>
          <w:color w:val="000000" w:themeColor="text1"/>
          <w:sz w:val="32"/>
          <w:szCs w:val="24"/>
          <w14:textFill>
            <w14:solidFill>
              <w14:schemeClr w14:val="tx1"/>
            </w14:solidFill>
          </w14:textFill>
        </w:rPr>
        <w:t>规范制定的目的和意义</w:t>
      </w:r>
    </w:p>
    <w:p w14:paraId="269F9464">
      <w:pPr>
        <w:pStyle w:val="36"/>
        <w:snapToGrid w:val="0"/>
        <w:spacing w:line="300" w:lineRule="auto"/>
        <w:ind w:firstLine="488"/>
        <w:jc w:val="both"/>
        <w:rPr>
          <w:rFonts w:hint="eastAsia" w:ascii="Times New Roman" w:hAnsi="Times New Roman"/>
          <w:lang w:val="en-US" w:eastAsia="zh-CN"/>
        </w:rPr>
      </w:pPr>
      <w:r>
        <w:rPr>
          <w:rFonts w:hint="eastAsia" w:ascii="Times New Roman" w:hAnsi="Times New Roman"/>
          <w:lang w:val="en-US" w:eastAsia="zh-CN"/>
        </w:rPr>
        <w:t>为贯彻《中华人民共和国环境保护法》、《涡轮发动机飞机燃油排泄和排气排出物规定》(CCAR—34)和国际民用航空公约 附件16《环境保护》 第II卷 —《航空器发动机的排放物》，加强航空发动机气态排放物监测工作，提出了本校准规范制定计划。</w:t>
      </w:r>
    </w:p>
    <w:p w14:paraId="2BE5FA66">
      <w:pPr>
        <w:pStyle w:val="36"/>
        <w:snapToGrid w:val="0"/>
        <w:spacing w:line="300" w:lineRule="auto"/>
        <w:ind w:firstLine="488"/>
        <w:jc w:val="both"/>
        <w:rPr>
          <w:rFonts w:hint="default" w:ascii="Times New Roman" w:hAnsi="Times New Roman"/>
          <w:lang w:val="en-US" w:eastAsia="zh-CN"/>
        </w:rPr>
      </w:pPr>
      <w:r>
        <w:rPr>
          <w:rFonts w:hint="eastAsia" w:ascii="Times New Roman" w:hAnsi="Times New Roman"/>
        </w:rPr>
        <w:t>温室气体控制和</w:t>
      </w:r>
      <w:r>
        <w:rPr>
          <w:rFonts w:hint="eastAsia" w:ascii="Times New Roman" w:hAnsi="Times New Roman"/>
          <w:lang w:val="en-US" w:eastAsia="zh-CN"/>
        </w:rPr>
        <w:t>航空发动机气态污染物</w:t>
      </w:r>
      <w:r>
        <w:rPr>
          <w:rFonts w:hint="eastAsia" w:ascii="Times New Roman" w:hAnsi="Times New Roman"/>
        </w:rPr>
        <w:t>是建立在有效监测数据基础之上的。随着航空业的快速发展，航空发动机排放物对环境产生的影响越来越受到关注，由于成本和安全性的原因，航空动力的气态排放物测量与机动车存在着明显不同。国际民航航空排放法规的对象是额定推力较大的喷气式发动机，而发动机排放测量是作为适航认证的一个必要过程来实施。航空排放认证旨在模拟航空器的起飞、爬升、降落和滑行四个阶段(LTO循环)排放的气态排放物（一氧化碳（CO）、二氧化碳（CO</w:t>
      </w:r>
      <w:r>
        <w:rPr>
          <w:rFonts w:hint="eastAsia" w:ascii="Times New Roman" w:hAnsi="Times New Roman"/>
          <w:sz w:val="15"/>
          <w:szCs w:val="15"/>
          <w:vertAlign w:val="subscript"/>
        </w:rPr>
        <w:t>2</w:t>
      </w:r>
      <w:r>
        <w:rPr>
          <w:rFonts w:hint="eastAsia" w:ascii="Times New Roman" w:hAnsi="Times New Roman"/>
        </w:rPr>
        <w:t>）未燃碳氢化合物（UHC）、氮氧化物（NOx））。民用航空发动机的排放标准是由国际民航组织(简称ICAO)颁布的，ICAO推荐的测试规程中包含对测试设备（如采样探针、采样管路、温度控制、分流器、稀释器、旋风分离器、测量仪器等）的要求，对测试程序（如泄漏检查、清洁检查、反冲洗准备、测试准备、采样过程、测量仪器校准等）的要求，同时对测试数据的记录及计算分析方法等也有详细描述。ICAO附件16第II卷及美国汽车工程师协会ARP 1256—航空器涡轮发动机气态排放物连续采样和测量程序、ARP 1533—航空器发动机气态排放物分析和评估程序明确了</w:t>
      </w:r>
      <w:r>
        <w:rPr>
          <w:rFonts w:hint="eastAsia" w:ascii="Times New Roman" w:hAnsi="Times New Roman"/>
          <w:lang w:val="en-US" w:eastAsia="zh-CN"/>
        </w:rPr>
        <w:t>碳氢</w:t>
      </w:r>
      <w:r>
        <w:rPr>
          <w:rFonts w:hint="eastAsia" w:ascii="Times New Roman" w:hAnsi="Times New Roman"/>
        </w:rPr>
        <w:t>分析仪规格与技术要求。</w:t>
      </w:r>
      <w:r>
        <w:rPr>
          <w:rFonts w:hint="eastAsia" w:ascii="Times New Roman" w:hAnsi="Times New Roman"/>
          <w:lang w:val="en-US" w:eastAsia="zh-CN"/>
        </w:rPr>
        <w:t>GB/T 18345.1燃气轮机 烟气排放 第一部分:测量与评估标准不适用于航空燃气轮机，</w:t>
      </w:r>
      <w:r>
        <w:rPr>
          <w:rFonts w:hint="eastAsia" w:ascii="Times New Roman" w:hAnsi="Times New Roman" w:cs="Times New Roman"/>
          <w:color w:val="auto"/>
          <w:spacing w:val="2"/>
          <w:kern w:val="0"/>
          <w:sz w:val="24"/>
          <w:szCs w:val="21"/>
          <w:lang w:val="en-US" w:eastAsia="zh-CN" w:bidi="ar-SA"/>
        </w:rPr>
        <w:t>HB 6117航空燃气涡轮发动机气态污染物的连续取样及测量方法</w:t>
      </w:r>
      <w:r>
        <w:rPr>
          <w:rFonts w:hint="eastAsia" w:ascii="Times New Roman" w:hAnsi="Times New Roman"/>
          <w:lang w:val="en-US" w:eastAsia="zh-CN"/>
        </w:rPr>
        <w:t>明确了碳氢</w:t>
      </w:r>
      <w:r>
        <w:rPr>
          <w:rFonts w:hint="eastAsia" w:ascii="Times New Roman" w:hAnsi="Times New Roman"/>
        </w:rPr>
        <w:t>分析仪规格与技术要求。</w:t>
      </w:r>
      <w:r>
        <w:rPr>
          <w:rFonts w:hint="eastAsia" w:ascii="Times New Roman" w:hAnsi="Times New Roman"/>
          <w:lang w:val="en-US" w:eastAsia="zh-CN"/>
        </w:rPr>
        <w:t>对于HC气体的测定，目前国内外已公布的方法有燃烧法、气相色谱法、微波法和红外法等类型，包括光离子化检测法（PID）、热解-气相色谱法（TCD-GC）、气体扩散采样法（GSS）、瓶采气法、红外吸收光谱法（IR）等。目前可参考的计量技术文件包括JJG 693—2011可燃气体检测报警器检定规程、JJF1585—2016固定污染源烟气排放连续监测系统校准规范和</w:t>
      </w:r>
      <w:r>
        <w:rPr>
          <w:rFonts w:hint="eastAsia" w:ascii="Times New Roman" w:hAnsi="Times New Roman"/>
          <w:lang w:eastAsia="zh-CN"/>
        </w:rPr>
        <w:t>JJF 1907—2021环境空气在线监测气体分析仪校准规范</w:t>
      </w:r>
      <w:r>
        <w:rPr>
          <w:rFonts w:hint="eastAsia" w:ascii="Times New Roman" w:hAnsi="Times New Roman"/>
          <w:lang w:val="en-US" w:eastAsia="zh-CN"/>
        </w:rPr>
        <w:t>。目前航空发动机气态排放物(HC、CO、CO</w:t>
      </w:r>
      <w:r>
        <w:rPr>
          <w:rFonts w:hint="eastAsia" w:ascii="Times New Roman" w:hAnsi="Times New Roman"/>
          <w:vertAlign w:val="subscript"/>
          <w:lang w:val="en-US" w:eastAsia="zh-CN"/>
        </w:rPr>
        <w:t>2</w:t>
      </w:r>
      <w:r>
        <w:rPr>
          <w:rFonts w:hint="eastAsia" w:ascii="Times New Roman" w:hAnsi="Times New Roman"/>
          <w:lang w:val="en-US" w:eastAsia="zh-CN"/>
        </w:rPr>
        <w:t>、NO</w:t>
      </w:r>
      <w:r>
        <w:rPr>
          <w:rFonts w:hint="eastAsia" w:ascii="Times New Roman" w:hAnsi="Times New Roman"/>
          <w:vertAlign w:val="subscript"/>
          <w:lang w:val="en-US" w:eastAsia="zh-CN"/>
        </w:rPr>
        <w:t>X</w:t>
      </w:r>
      <w:r>
        <w:rPr>
          <w:rFonts w:hint="eastAsia" w:ascii="Times New Roman" w:hAnsi="Times New Roman"/>
          <w:lang w:val="en-US" w:eastAsia="zh-CN"/>
        </w:rPr>
        <w:t>)校准存在以下问题：一、国内对于仪器线性误差、协同效应、噪声等特性无校准方法，二、实际工况下复杂多样的气体成分对仪器的响应未进行评估。</w:t>
      </w:r>
    </w:p>
    <w:p w14:paraId="6B75F42D">
      <w:pPr>
        <w:pStyle w:val="36"/>
        <w:snapToGrid w:val="0"/>
        <w:spacing w:line="300" w:lineRule="auto"/>
        <w:ind w:firstLine="488"/>
        <w:jc w:val="both"/>
        <w:rPr>
          <w:rFonts w:hint="eastAsia" w:ascii="Times New Roman" w:hAnsi="Times New Roman"/>
        </w:rPr>
      </w:pPr>
      <w:r>
        <w:rPr>
          <w:rFonts w:hint="eastAsia" w:ascii="Times New Roman" w:hAnsi="Times New Roman"/>
        </w:rPr>
        <w:t>另外，环保部</w:t>
      </w:r>
      <w:bookmarkStart w:id="0" w:name="_Toc528024128"/>
      <w:bookmarkStart w:id="1" w:name="_Toc527890939"/>
      <w:bookmarkStart w:id="2" w:name="_Toc499020405"/>
      <w:r>
        <w:rPr>
          <w:rFonts w:hint="eastAsia" w:ascii="Times New Roman" w:hAnsi="Times New Roman"/>
        </w:rPr>
        <w:t>为加强环境自动监测站质量管理先后颁布实施了环办监测函〔2017〕2024号附件：2018年重点地区环境空气挥发性有机物监测方案、HJ 759—2015 环境空气 挥发性有机物的测定罐采样 气相色谱—质谱法、</w:t>
      </w:r>
      <w:r>
        <w:rPr>
          <w:rFonts w:hint="eastAsia" w:ascii="Times New Roman" w:hAnsi="Times New Roman"/>
          <w:lang w:val="en-US" w:eastAsia="zh-CN"/>
        </w:rPr>
        <w:t>HJ 1331—2023固定污染源废气总烃、甲烷和非甲烷总烃的测定 便携式催化氧化—氢火焰离子化检测器法、HJ 1332—2023固定污染源废气总烃、甲烷和非甲烷总烃的测定 便携式气相色谱—氢火焰离子化检测器法、</w:t>
      </w:r>
      <w:r>
        <w:rPr>
          <w:rFonts w:hint="eastAsia" w:ascii="Times New Roman" w:hAnsi="Times New Roman"/>
        </w:rPr>
        <w:t>HJ</w:t>
      </w:r>
      <w:r>
        <w:rPr>
          <w:rFonts w:hint="eastAsia" w:ascii="Times New Roman" w:hAnsi="Times New Roman"/>
          <w:lang w:val="en-US" w:eastAsia="zh-CN"/>
        </w:rPr>
        <w:t xml:space="preserve"> </w:t>
      </w:r>
      <w:r>
        <w:rPr>
          <w:rFonts w:hint="eastAsia" w:ascii="Times New Roman" w:hAnsi="Times New Roman"/>
        </w:rPr>
        <w:t>1012—2018</w:t>
      </w:r>
      <w:r>
        <w:rPr>
          <w:rFonts w:hint="eastAsia" w:ascii="Times New Roman" w:hAnsi="Times New Roman"/>
          <w:lang w:val="en-US" w:eastAsia="zh-CN"/>
        </w:rPr>
        <w:t xml:space="preserve"> </w:t>
      </w:r>
      <w:r>
        <w:rPr>
          <w:rFonts w:hint="eastAsia" w:ascii="Times New Roman" w:hAnsi="Times New Roman"/>
        </w:rPr>
        <w:t>环境空气和废气总烃甲烷和非甲烷总烃便携式监测仪技术要求及检测方法、HJ</w:t>
      </w:r>
      <w:r>
        <w:rPr>
          <w:rFonts w:hint="eastAsia" w:ascii="Times New Roman" w:hAnsi="Times New Roman"/>
          <w:lang w:val="en-US" w:eastAsia="zh-CN"/>
        </w:rPr>
        <w:t xml:space="preserve"> </w:t>
      </w:r>
      <w:r>
        <w:rPr>
          <w:rFonts w:hint="eastAsia" w:ascii="Times New Roman" w:hAnsi="Times New Roman"/>
        </w:rPr>
        <w:t>101</w:t>
      </w:r>
      <w:r>
        <w:rPr>
          <w:rFonts w:hint="eastAsia" w:ascii="Times New Roman" w:hAnsi="Times New Roman"/>
          <w:lang w:val="en-US" w:eastAsia="zh-CN"/>
        </w:rPr>
        <w:t>3</w:t>
      </w:r>
      <w:r>
        <w:rPr>
          <w:rFonts w:hint="eastAsia" w:ascii="Times New Roman" w:hAnsi="Times New Roman"/>
        </w:rPr>
        <w:t>—2018</w:t>
      </w:r>
      <w:r>
        <w:rPr>
          <w:rFonts w:hint="eastAsia" w:ascii="Times New Roman" w:hAnsi="Times New Roman"/>
          <w:lang w:eastAsia="zh-CN"/>
        </w:rPr>
        <w:t>固定污染源</w:t>
      </w:r>
      <w:r>
        <w:rPr>
          <w:rFonts w:hint="eastAsia" w:ascii="Times New Roman" w:hAnsi="Times New Roman"/>
        </w:rPr>
        <w:t>废气非甲烷总烃</w:t>
      </w:r>
      <w:r>
        <w:rPr>
          <w:rFonts w:hint="eastAsia" w:ascii="Times New Roman" w:hAnsi="Times New Roman"/>
          <w:lang w:eastAsia="zh-CN"/>
        </w:rPr>
        <w:t>连续</w:t>
      </w:r>
      <w:r>
        <w:rPr>
          <w:rFonts w:hint="eastAsia" w:ascii="Times New Roman" w:hAnsi="Times New Roman"/>
        </w:rPr>
        <w:t>监测</w:t>
      </w:r>
      <w:r>
        <w:rPr>
          <w:rFonts w:hint="eastAsia" w:ascii="Times New Roman" w:hAnsi="Times New Roman"/>
          <w:lang w:eastAsia="zh-CN"/>
        </w:rPr>
        <w:t>系统</w:t>
      </w:r>
      <w:r>
        <w:rPr>
          <w:rFonts w:hint="eastAsia" w:ascii="Times New Roman" w:hAnsi="Times New Roman"/>
        </w:rPr>
        <w:t>技术要求及检测方法</w:t>
      </w:r>
      <w:r>
        <w:rPr>
          <w:rFonts w:hint="eastAsia" w:ascii="Times New Roman" w:hAnsi="Times New Roman"/>
          <w:lang w:eastAsia="zh-CN"/>
        </w:rPr>
        <w:t>、</w:t>
      </w:r>
      <w:r>
        <w:rPr>
          <w:rFonts w:hint="eastAsia" w:ascii="Times New Roman" w:hAnsi="Times New Roman"/>
          <w:lang w:val="en-US" w:eastAsia="zh-CN"/>
        </w:rPr>
        <w:t>HJ 76—2017固定污染源烟气(SO</w:t>
      </w:r>
      <w:r>
        <w:rPr>
          <w:rFonts w:hint="eastAsia" w:ascii="Times New Roman" w:hAnsi="Times New Roman"/>
          <w:vertAlign w:val="subscript"/>
          <w:lang w:val="en-US" w:eastAsia="zh-CN"/>
        </w:rPr>
        <w:t>2</w:t>
      </w:r>
      <w:r>
        <w:rPr>
          <w:rFonts w:hint="eastAsia" w:ascii="Times New Roman" w:hAnsi="Times New Roman"/>
          <w:lang w:val="en-US" w:eastAsia="zh-CN"/>
        </w:rPr>
        <w:t>、NO</w:t>
      </w:r>
      <w:r>
        <w:rPr>
          <w:rFonts w:hint="eastAsia" w:ascii="Times New Roman" w:hAnsi="Times New Roman"/>
          <w:vertAlign w:val="subscript"/>
          <w:lang w:val="en-US" w:eastAsia="zh-CN"/>
        </w:rPr>
        <w:t>X</w:t>
      </w:r>
      <w:r>
        <w:rPr>
          <w:rFonts w:hint="eastAsia" w:ascii="Times New Roman" w:hAnsi="Times New Roman"/>
          <w:lang w:val="en-US" w:eastAsia="zh-CN"/>
        </w:rPr>
        <w:t>、颗粒物)排放连续监测系统技术要求及检测方法、</w:t>
      </w:r>
      <w:r>
        <w:rPr>
          <w:rFonts w:hint="eastAsia" w:ascii="Times New Roman" w:hAnsi="Times New Roman"/>
        </w:rPr>
        <w:t xml:space="preserve">HJ </w:t>
      </w:r>
      <w:r>
        <w:rPr>
          <w:rFonts w:hint="eastAsia" w:ascii="Times New Roman" w:hAnsi="Times New Roman"/>
          <w:lang w:val="en-US" w:eastAsia="zh-CN"/>
        </w:rPr>
        <w:t>654</w:t>
      </w:r>
      <w:r>
        <w:rPr>
          <w:rFonts w:hint="eastAsia" w:ascii="Times New Roman" w:hAnsi="Times New Roman"/>
        </w:rPr>
        <w:t>—</w:t>
      </w:r>
      <w:r>
        <w:rPr>
          <w:rFonts w:hint="eastAsia" w:ascii="Times New Roman" w:hAnsi="Times New Roman"/>
          <w:lang w:val="en-US" w:eastAsia="zh-CN"/>
        </w:rPr>
        <w:t>2013环境空气气态污染物(SO</w:t>
      </w:r>
      <w:r>
        <w:rPr>
          <w:rFonts w:hint="eastAsia" w:ascii="Times New Roman" w:hAnsi="Times New Roman"/>
          <w:vertAlign w:val="subscript"/>
          <w:lang w:val="en-US" w:eastAsia="zh-CN"/>
        </w:rPr>
        <w:t>2</w:t>
      </w:r>
      <w:r>
        <w:rPr>
          <w:rFonts w:hint="eastAsia" w:ascii="Times New Roman" w:hAnsi="Times New Roman"/>
          <w:lang w:val="en-US" w:eastAsia="zh-CN"/>
        </w:rPr>
        <w:t>、NO</w:t>
      </w:r>
      <w:r>
        <w:rPr>
          <w:rFonts w:hint="eastAsia" w:ascii="Times New Roman" w:hAnsi="Times New Roman"/>
          <w:vertAlign w:val="subscript"/>
          <w:lang w:val="en-US" w:eastAsia="zh-CN"/>
        </w:rPr>
        <w:t>2</w:t>
      </w:r>
      <w:r>
        <w:rPr>
          <w:rFonts w:hint="eastAsia" w:ascii="Times New Roman" w:hAnsi="Times New Roman"/>
          <w:lang w:val="en-US" w:eastAsia="zh-CN"/>
        </w:rPr>
        <w:t>、O</w:t>
      </w:r>
      <w:r>
        <w:rPr>
          <w:rFonts w:hint="eastAsia" w:ascii="Times New Roman" w:hAnsi="Times New Roman"/>
          <w:vertAlign w:val="subscript"/>
          <w:lang w:val="en-US" w:eastAsia="zh-CN"/>
        </w:rPr>
        <w:t>3</w:t>
      </w:r>
      <w:r>
        <w:rPr>
          <w:rFonts w:hint="eastAsia" w:ascii="Times New Roman" w:hAnsi="Times New Roman"/>
          <w:lang w:val="en-US" w:eastAsia="zh-CN"/>
        </w:rPr>
        <w:t>、CO)连续自动监测系统技术要求及监测方法</w:t>
      </w:r>
      <w:r>
        <w:rPr>
          <w:rFonts w:hint="eastAsia" w:ascii="Times New Roman" w:hAnsi="Times New Roman"/>
        </w:rPr>
        <w:t>等技术法规</w:t>
      </w:r>
      <w:bookmarkEnd w:id="0"/>
      <w:bookmarkEnd w:id="1"/>
      <w:bookmarkEnd w:id="2"/>
      <w:r>
        <w:rPr>
          <w:rFonts w:hint="eastAsia" w:ascii="Times New Roman" w:hAnsi="Times New Roman"/>
        </w:rPr>
        <w:t>。而国家市场技术监督部门还没有相应的计量技术法规跟进管理，本规范的立项制定具有重要的行业之间的管理对接意义。</w:t>
      </w:r>
    </w:p>
    <w:p w14:paraId="56A27A90">
      <w:pPr>
        <w:keepNext w:val="0"/>
        <w:keepLines w:val="0"/>
        <w:pageBreakBefore w:val="0"/>
        <w:widowControl w:val="0"/>
        <w:kinsoku/>
        <w:wordWrap/>
        <w:overflowPunct/>
        <w:topLinePunct w:val="0"/>
        <w:autoSpaceDE/>
        <w:autoSpaceDN/>
        <w:bidi w:val="0"/>
        <w:adjustRightInd w:val="0"/>
        <w:snapToGrid w:val="0"/>
        <w:spacing w:line="300" w:lineRule="auto"/>
        <w:ind w:firstLine="488" w:firstLineChars="200"/>
        <w:jc w:val="both"/>
        <w:textAlignment w:val="auto"/>
        <w:rPr>
          <w:rFonts w:hint="eastAsia" w:ascii="Arial" w:cs="Arial"/>
          <w:sz w:val="24"/>
        </w:rPr>
      </w:pPr>
      <w:r>
        <w:rPr>
          <w:rFonts w:hint="eastAsia" w:ascii="Times New Roman" w:hAnsi="Times New Roman" w:eastAsia="SimSun" w:cs="Times New Roman"/>
          <w:spacing w:val="2"/>
          <w:kern w:val="0"/>
          <w:sz w:val="24"/>
          <w:szCs w:val="21"/>
          <w:lang w:val="en-US" w:eastAsia="zh-CN" w:bidi="ar-SA"/>
        </w:rPr>
        <w:t>本标准在考虑设备本身性能、设备使用情况以及经济成本的条件下，对计量特性增加了线性误差、噪声、协同效应等要求，并给出了气体污染物排放测量仪校准参数结果的使用方法建议，使用者综合考虑计量特性并将协同效应带入气体污染物排放指数的计算过程中，使其符合适航审查的要求。</w:t>
      </w:r>
      <w:r>
        <w:rPr>
          <w:rFonts w:hint="default" w:ascii="Times New Roman" w:hAnsi="Times New Roman" w:eastAsia="SimSun" w:cs="Times New Roman"/>
          <w:spacing w:val="2"/>
          <w:kern w:val="0"/>
          <w:sz w:val="24"/>
          <w:szCs w:val="21"/>
          <w:lang w:val="en-US" w:eastAsia="zh-CN" w:bidi="ar-SA"/>
        </w:rPr>
        <w:t>本标准的编制贯彻实施后，能够满足国内</w:t>
      </w:r>
      <w:r>
        <w:rPr>
          <w:rFonts w:hint="eastAsia" w:ascii="Times New Roman" w:hAnsi="Times New Roman" w:eastAsia="SimSun" w:cs="Times New Roman"/>
          <w:spacing w:val="2"/>
          <w:kern w:val="0"/>
          <w:sz w:val="24"/>
          <w:szCs w:val="21"/>
          <w:lang w:val="en-US" w:eastAsia="zh-CN" w:bidi="ar-SA"/>
        </w:rPr>
        <w:t>航空发动机气态排放物(HC)测量系统</w:t>
      </w:r>
      <w:r>
        <w:rPr>
          <w:rFonts w:hint="default" w:ascii="Times New Roman" w:hAnsi="Times New Roman" w:eastAsia="SimSun" w:cs="Times New Roman"/>
          <w:spacing w:val="2"/>
          <w:kern w:val="0"/>
          <w:sz w:val="24"/>
          <w:szCs w:val="21"/>
          <w:lang w:val="en-US" w:eastAsia="zh-CN" w:bidi="ar-SA"/>
        </w:rPr>
        <w:t>校准的需求，填补国内</w:t>
      </w:r>
      <w:r>
        <w:rPr>
          <w:rFonts w:hint="eastAsia" w:ascii="Times New Roman" w:hAnsi="Times New Roman" w:eastAsia="SimSun" w:cs="Times New Roman"/>
          <w:spacing w:val="2"/>
          <w:kern w:val="0"/>
          <w:sz w:val="24"/>
          <w:szCs w:val="21"/>
          <w:lang w:val="en-US" w:eastAsia="zh-CN" w:bidi="ar-SA"/>
        </w:rPr>
        <w:t>航空发动机气态排放物(HC)测量系统</w:t>
      </w:r>
      <w:r>
        <w:rPr>
          <w:rFonts w:hint="default" w:ascii="Times New Roman" w:hAnsi="Times New Roman" w:eastAsia="SimSun" w:cs="Times New Roman"/>
          <w:spacing w:val="2"/>
          <w:kern w:val="0"/>
          <w:sz w:val="24"/>
          <w:szCs w:val="21"/>
          <w:lang w:val="en-US" w:eastAsia="zh-CN" w:bidi="ar-SA"/>
        </w:rPr>
        <w:t>对于实际工况下多种气体干扰因子、噪声、线性度等计量特性校准方法的空白，提高航空发动机气态排放物测量仪校准方法的规范性、合理性、可操作性，为提升适航取证试验数据的有效性、规范性具有重大意义，能够有效指导在研、在役型号的</w:t>
      </w:r>
      <w:r>
        <w:rPr>
          <w:rFonts w:hint="eastAsia" w:ascii="Times New Roman" w:hAnsi="Times New Roman" w:eastAsia="SimSun" w:cs="Times New Roman"/>
          <w:spacing w:val="2"/>
          <w:kern w:val="0"/>
          <w:sz w:val="24"/>
          <w:szCs w:val="21"/>
          <w:lang w:val="en-US" w:eastAsia="zh-CN" w:bidi="ar-SA"/>
        </w:rPr>
        <w:t>航空发动机气态排放物(HC)测量系统</w:t>
      </w:r>
      <w:r>
        <w:rPr>
          <w:rFonts w:hint="default" w:ascii="Times New Roman" w:hAnsi="Times New Roman" w:eastAsia="SimSun" w:cs="Times New Roman"/>
          <w:spacing w:val="2"/>
          <w:kern w:val="0"/>
          <w:sz w:val="24"/>
          <w:szCs w:val="21"/>
          <w:lang w:val="en-US" w:eastAsia="zh-CN" w:bidi="ar-SA"/>
        </w:rPr>
        <w:t>现场校准、仪器标定、不确度定评定和数据分析工作工作。本标准是计量数据满足适航标准应用的实践要求，保证</w:t>
      </w:r>
      <w:r>
        <w:rPr>
          <w:rFonts w:hint="eastAsia" w:ascii="Times New Roman" w:hAnsi="Times New Roman" w:eastAsia="SimSun" w:cs="Times New Roman"/>
          <w:spacing w:val="2"/>
          <w:kern w:val="0"/>
          <w:sz w:val="24"/>
          <w:szCs w:val="21"/>
          <w:lang w:val="en-US" w:eastAsia="zh-CN" w:bidi="ar-SA"/>
        </w:rPr>
        <w:t>航空发动机气态排放物(HC)测量系统</w:t>
      </w:r>
      <w:r>
        <w:rPr>
          <w:rFonts w:hint="default" w:ascii="Times New Roman" w:hAnsi="Times New Roman" w:eastAsia="SimSun" w:cs="Times New Roman"/>
          <w:spacing w:val="2"/>
          <w:kern w:val="0"/>
          <w:sz w:val="24"/>
          <w:szCs w:val="21"/>
          <w:lang w:val="en-US" w:eastAsia="zh-CN" w:bidi="ar-SA"/>
        </w:rPr>
        <w:t>的量值准确可靠，支撑新一代航空发动机气态排放物适航审定的要求。</w:t>
      </w:r>
    </w:p>
    <w:p w14:paraId="2E5BF8B1">
      <w:pPr>
        <w:adjustRightInd w:val="0"/>
        <w:snapToGrid w:val="0"/>
        <w:spacing w:before="143" w:beforeLines="50" w:after="143" w:afterLines="50"/>
        <w:outlineLvl w:val="0"/>
        <w:rPr>
          <w:rFonts w:hint="eastAsia" w:ascii="SimHei" w:hAnsi="SimHei" w:eastAsia="SimHei"/>
          <w:color w:val="000000" w:themeColor="text1"/>
          <w:sz w:val="32"/>
          <w:szCs w:val="24"/>
          <w:lang w:val="en-US" w:eastAsia="zh-CN"/>
          <w14:textFill>
            <w14:solidFill>
              <w14:schemeClr w14:val="tx1"/>
            </w14:solidFill>
          </w14:textFill>
        </w:rPr>
      </w:pPr>
      <w:r>
        <w:rPr>
          <w:rFonts w:hint="eastAsia" w:ascii="SimHei" w:hAnsi="SimHei" w:eastAsia="SimHei"/>
          <w:color w:val="000000" w:themeColor="text1"/>
          <w:sz w:val="32"/>
          <w:szCs w:val="24"/>
          <w:lang w:val="en-US" w:eastAsia="zh-CN"/>
          <w14:textFill>
            <w14:solidFill>
              <w14:schemeClr w14:val="tx1"/>
            </w14:solidFill>
          </w14:textFill>
        </w:rPr>
        <w:t>三、规范制定的依据</w:t>
      </w:r>
    </w:p>
    <w:p w14:paraId="7DD1DD9E">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rPr>
        <w:t>《航空发动机气态排放物(HC)测量系统</w:t>
      </w:r>
      <w:r>
        <w:rPr>
          <w:rFonts w:hint="default" w:ascii="Times New Roman" w:hAnsi="Times New Roman"/>
        </w:rPr>
        <w:t>校准</w:t>
      </w:r>
      <w:r>
        <w:rPr>
          <w:rFonts w:hint="eastAsia" w:ascii="Times New Roman" w:hAnsi="Times New Roman"/>
          <w:lang w:val="en-US" w:eastAsia="zh-CN"/>
        </w:rPr>
        <w:t>规范》前期已经形成企业标准，并在企业内部进行有效验证。</w:t>
      </w:r>
    </w:p>
    <w:p w14:paraId="18C320DD">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编制参考了下面法规技术指标和名词术语和定义：</w:t>
      </w:r>
    </w:p>
    <w:p w14:paraId="0D75BD0F">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default" w:ascii="Times New Roman" w:hAnsi="Times New Roman"/>
          <w:lang w:val="en-US" w:eastAsia="zh-CN"/>
        </w:rPr>
      </w:pPr>
      <w:r>
        <w:rPr>
          <w:rFonts w:hint="eastAsia" w:ascii="Times New Roman" w:hAnsi="Times New Roman"/>
          <w:lang w:val="en-US" w:eastAsia="zh-CN"/>
        </w:rPr>
        <w:t>JJF 1001—2011通用计量术语及定义</w:t>
      </w:r>
    </w:p>
    <w:p w14:paraId="1C39C38A">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JJF 1907—2021环境空气在线监测气体分析仪校准规范</w:t>
      </w:r>
    </w:p>
    <w:p w14:paraId="1B5D6575">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HJ 1012—2018 环境空气和废气总烃甲烷和非甲烷总烃便携式监测仪技术要求及检测方法</w:t>
      </w:r>
    </w:p>
    <w:p w14:paraId="34E6FA34">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国际民用航空公约 附件16《环境保护》 第II卷 —《航空器发动机的排放物》</w:t>
      </w:r>
    </w:p>
    <w:p w14:paraId="557D602A">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其中JJF1071—2010《国家计量校准规范编写规则》、JJF1001—2011《通用计量术语及定义》、JJF1059.1—2012《测量不确定度评定与表示》共同构成支撑校准规范制修订工作的基础性系列规范。</w:t>
      </w:r>
    </w:p>
    <w:p w14:paraId="14629ED5">
      <w:pPr>
        <w:pStyle w:val="36"/>
        <w:snapToGrid w:val="0"/>
        <w:spacing w:line="300" w:lineRule="auto"/>
        <w:ind w:firstLine="488"/>
        <w:jc w:val="both"/>
        <w:rPr>
          <w:rFonts w:hint="eastAsia" w:ascii="SimHei" w:hAnsi="SimSun" w:eastAsia="SimHei"/>
          <w:szCs w:val="28"/>
        </w:rPr>
      </w:pPr>
      <w:r>
        <w:rPr>
          <w:rFonts w:hint="eastAsia" w:ascii="Times New Roman" w:hAnsi="Times New Roman" w:eastAsia="SimSun" w:cs="Times New Roman"/>
          <w:spacing w:val="2"/>
          <w:kern w:val="0"/>
          <w:sz w:val="24"/>
          <w:szCs w:val="21"/>
          <w:lang w:val="en-US" w:eastAsia="zh-CN" w:bidi="ar-SA"/>
        </w:rPr>
        <w:t>本规范中航空发动机气态排放物(HC)测量系统的的校准方法主要参考了国际民用航空公约 附件16《环境保护》 第II卷 —《航空器发动机的排放物》、HJ 1012—2018《环境空气和废气总烃甲烷和非甲烷总烃便携式监测仪技术要求及检测方法》、HJ 1013—2018《固定污染源废气非甲烷总烃连续监测系统技术要求及检测方法》、HJ 654—2013《环境空气气态污染物(SO</w:t>
      </w:r>
      <w:r>
        <w:rPr>
          <w:rFonts w:hint="eastAsia" w:ascii="Times New Roman" w:hAnsi="Times New Roman" w:eastAsia="SimSun" w:cs="Times New Roman"/>
          <w:spacing w:val="2"/>
          <w:kern w:val="0"/>
          <w:sz w:val="24"/>
          <w:szCs w:val="21"/>
          <w:vertAlign w:val="subscript"/>
          <w:lang w:val="en-US" w:eastAsia="zh-CN" w:bidi="ar-SA"/>
        </w:rPr>
        <w:t>2</w:t>
      </w:r>
      <w:r>
        <w:rPr>
          <w:rFonts w:hint="eastAsia" w:ascii="Times New Roman" w:hAnsi="Times New Roman" w:eastAsia="SimSun" w:cs="Times New Roman"/>
          <w:spacing w:val="2"/>
          <w:kern w:val="0"/>
          <w:sz w:val="24"/>
          <w:szCs w:val="21"/>
          <w:lang w:val="en-US" w:eastAsia="zh-CN" w:bidi="ar-SA"/>
        </w:rPr>
        <w:t>、NO</w:t>
      </w:r>
      <w:r>
        <w:rPr>
          <w:rFonts w:hint="eastAsia" w:ascii="Times New Roman" w:hAnsi="Times New Roman" w:eastAsia="SimSun" w:cs="Times New Roman"/>
          <w:spacing w:val="2"/>
          <w:kern w:val="0"/>
          <w:sz w:val="24"/>
          <w:szCs w:val="21"/>
          <w:vertAlign w:val="subscript"/>
          <w:lang w:val="en-US" w:eastAsia="zh-CN" w:bidi="ar-SA"/>
        </w:rPr>
        <w:t>2</w:t>
      </w:r>
      <w:r>
        <w:rPr>
          <w:rFonts w:hint="eastAsia" w:ascii="Times New Roman" w:hAnsi="Times New Roman" w:eastAsia="SimSun" w:cs="Times New Roman"/>
          <w:spacing w:val="2"/>
          <w:kern w:val="0"/>
          <w:sz w:val="24"/>
          <w:szCs w:val="21"/>
          <w:lang w:val="en-US" w:eastAsia="zh-CN" w:bidi="ar-SA"/>
        </w:rPr>
        <w:t>、O</w:t>
      </w:r>
      <w:r>
        <w:rPr>
          <w:rFonts w:hint="eastAsia" w:ascii="Times New Roman" w:hAnsi="Times New Roman" w:eastAsia="SimSun" w:cs="Times New Roman"/>
          <w:spacing w:val="2"/>
          <w:kern w:val="0"/>
          <w:sz w:val="24"/>
          <w:szCs w:val="21"/>
          <w:vertAlign w:val="subscript"/>
          <w:lang w:val="en-US" w:eastAsia="zh-CN" w:bidi="ar-SA"/>
        </w:rPr>
        <w:t>3</w:t>
      </w:r>
      <w:r>
        <w:rPr>
          <w:rFonts w:hint="eastAsia" w:ascii="Times New Roman" w:hAnsi="Times New Roman" w:eastAsia="SimSun" w:cs="Times New Roman"/>
          <w:spacing w:val="2"/>
          <w:kern w:val="0"/>
          <w:sz w:val="24"/>
          <w:szCs w:val="21"/>
          <w:lang w:val="en-US" w:eastAsia="zh-CN" w:bidi="ar-SA"/>
        </w:rPr>
        <w:t>、CO)连续自动监测系统技术要求及监测方法》、JJF 1585—2016《固定污染源烟气排放连续监测系统校准规范》、JJF 1907—2021《环境空气在线监测气体分析仪校准规范》、JJG 693—2011《可燃气体检测报警器》检定规程、SAE ARP 1256 E Procedure for the Continuous Sampling and Measurement of Gaseous Emissions from Aircraft Turbine Engines等标准。</w:t>
      </w:r>
    </w:p>
    <w:p w14:paraId="51D99BF3">
      <w:pPr>
        <w:adjustRightInd w:val="0"/>
        <w:snapToGrid w:val="0"/>
        <w:spacing w:before="143" w:beforeLines="50" w:after="143" w:afterLines="50"/>
        <w:outlineLvl w:val="0"/>
        <w:rPr>
          <w:rFonts w:hint="eastAsia" w:ascii="Times New Roman" w:hAnsi="Times New Roman"/>
        </w:rPr>
      </w:pPr>
      <w:r>
        <w:rPr>
          <w:rFonts w:hint="eastAsia" w:ascii="SimHei" w:hAnsi="SimHei" w:eastAsia="SimHei"/>
          <w:color w:val="000000" w:themeColor="text1"/>
          <w:sz w:val="32"/>
          <w:szCs w:val="24"/>
          <w:lang w:val="en-US" w:eastAsia="zh-CN"/>
          <w14:textFill>
            <w14:solidFill>
              <w14:schemeClr w14:val="tx1"/>
            </w14:solidFill>
          </w14:textFill>
        </w:rPr>
        <w:t>四、规范制定的主要内容及说明</w:t>
      </w:r>
    </w:p>
    <w:p w14:paraId="498AF4DB">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b/>
          <w:bCs/>
          <w:lang w:val="en-US" w:eastAsia="zh-CN"/>
        </w:rPr>
      </w:pPr>
      <w:r>
        <w:rPr>
          <w:rFonts w:hint="eastAsia" w:ascii="Times New Roman" w:hAnsi="Times New Roman"/>
          <w:b/>
          <w:bCs/>
          <w:lang w:val="en-US" w:eastAsia="zh-CN"/>
        </w:rPr>
        <w:t>0、按照JJF 1071—2010 《国家计量校准规范编写规则》要求，编写了引言部分。</w:t>
      </w:r>
    </w:p>
    <w:p w14:paraId="6EF405FA">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b/>
          <w:bCs/>
          <w:lang w:val="en-US" w:eastAsia="zh-CN"/>
        </w:rPr>
      </w:pPr>
      <w:r>
        <w:rPr>
          <w:rFonts w:hint="eastAsia" w:ascii="Times New Roman" w:hAnsi="Times New Roman"/>
          <w:b/>
          <w:bCs/>
          <w:lang w:val="en-US" w:eastAsia="zh-CN"/>
        </w:rPr>
        <w:t>1 范围</w:t>
      </w:r>
    </w:p>
    <w:p w14:paraId="3A736A23">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本规范适用于火焰离子化检测器原理的航空发动机气态排放物(HC)测量系统的校准（以下简称测量系统），工况测量范围为(0~5000)μmol/mol，其他原理的仪器可参照本规范执行。</w:t>
      </w:r>
    </w:p>
    <w:p w14:paraId="7D0D155B">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default" w:ascii="Times New Roman" w:hAnsi="Times New Roman"/>
          <w:lang w:val="en-US" w:eastAsia="zh-CN"/>
        </w:rPr>
      </w:pPr>
      <w:r>
        <w:rPr>
          <w:rFonts w:hint="eastAsia" w:ascii="Times New Roman" w:hAnsi="Times New Roman"/>
          <w:lang w:val="en-US" w:eastAsia="zh-CN"/>
        </w:rPr>
        <w:t>规范的适用范围主要根据《涡轮发动机飞机燃油排泄和排气排出物规定》(CCAR—34)和国际民用航空公约 附件16《环境保护》 第II卷 —《航空器发动机的排放物》中对于气态排放物排放指数要求和性能参数要求。航空器发动机碳氢化合物排放指数不大于19.6，仪器原理氢火焰离子化检测器，总量程5000ppmC。</w:t>
      </w:r>
    </w:p>
    <w:p w14:paraId="303F8D96">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b/>
          <w:bCs/>
          <w:lang w:val="en-US" w:eastAsia="zh-CN"/>
        </w:rPr>
      </w:pPr>
      <w:r>
        <w:rPr>
          <w:rFonts w:hint="eastAsia" w:ascii="Times New Roman" w:hAnsi="Times New Roman"/>
          <w:b/>
          <w:bCs/>
          <w:lang w:val="en-US" w:eastAsia="zh-CN"/>
        </w:rPr>
        <w:t>2 引用文件</w:t>
      </w:r>
    </w:p>
    <w:p w14:paraId="31AA0C19">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本规范引用了下列文件：</w:t>
      </w:r>
    </w:p>
    <w:p w14:paraId="48C2F0D7">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bookmarkStart w:id="3" w:name="_Hlk100388238"/>
      <w:bookmarkStart w:id="4" w:name="_Hlk100155946"/>
      <w:r>
        <w:rPr>
          <w:rFonts w:hint="eastAsia" w:ascii="Times New Roman" w:hAnsi="Times New Roman"/>
          <w:lang w:val="en-US" w:eastAsia="zh-CN"/>
        </w:rPr>
        <w:t>JJG 693 可燃气体检测报警器</w:t>
      </w:r>
    </w:p>
    <w:p w14:paraId="5F837AE7">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JJF 1907 环境空气在线监测气体分析仪校准规范</w:t>
      </w:r>
    </w:p>
    <w:p w14:paraId="145C6760">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default" w:ascii="Times New Roman" w:hAnsi="Times New Roman"/>
          <w:lang w:val="en-US" w:eastAsia="zh-CN"/>
        </w:rPr>
      </w:pPr>
      <w:r>
        <w:rPr>
          <w:rFonts w:hint="default" w:ascii="Times New Roman" w:hAnsi="Times New Roman"/>
          <w:lang w:val="en-US" w:eastAsia="zh-CN"/>
        </w:rPr>
        <w:t>HB 6117 航空燃气涡轮发动机气态污染物的连续取样及测量方法</w:t>
      </w:r>
    </w:p>
    <w:p w14:paraId="15FA7216">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HJ 1012 环境空气和废气总烃甲烷和非甲烷总烃便携式监测仪技术要求及检测方法</w:t>
      </w:r>
    </w:p>
    <w:p w14:paraId="299AF377">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default" w:ascii="Times New Roman" w:hAnsi="Times New Roman"/>
          <w:lang w:val="en-US" w:eastAsia="zh-CN"/>
        </w:rPr>
      </w:pPr>
      <w:r>
        <w:rPr>
          <w:rFonts w:hint="eastAsia" w:ascii="Times New Roman" w:hAnsi="Times New Roman"/>
          <w:lang w:val="en-US" w:eastAsia="zh-CN"/>
        </w:rPr>
        <w:t>HJ 654 环境空气气态污染物(SO</w:t>
      </w:r>
      <w:r>
        <w:rPr>
          <w:rFonts w:hint="eastAsia" w:ascii="Times New Roman" w:hAnsi="Times New Roman"/>
          <w:vertAlign w:val="subscript"/>
          <w:lang w:val="en-US" w:eastAsia="zh-CN"/>
        </w:rPr>
        <w:t>2</w:t>
      </w:r>
      <w:r>
        <w:rPr>
          <w:rFonts w:hint="eastAsia" w:ascii="Times New Roman" w:hAnsi="Times New Roman"/>
          <w:lang w:val="en-US" w:eastAsia="zh-CN"/>
        </w:rPr>
        <w:t>、NO</w:t>
      </w:r>
      <w:r>
        <w:rPr>
          <w:rFonts w:hint="eastAsia" w:ascii="Times New Roman" w:hAnsi="Times New Roman"/>
          <w:vertAlign w:val="subscript"/>
          <w:lang w:val="en-US" w:eastAsia="zh-CN"/>
        </w:rPr>
        <w:t>2</w:t>
      </w:r>
      <w:r>
        <w:rPr>
          <w:rFonts w:hint="eastAsia" w:ascii="Times New Roman" w:hAnsi="Times New Roman"/>
          <w:lang w:val="en-US" w:eastAsia="zh-CN"/>
        </w:rPr>
        <w:t>、O</w:t>
      </w:r>
      <w:r>
        <w:rPr>
          <w:rFonts w:hint="eastAsia" w:ascii="Times New Roman" w:hAnsi="Times New Roman"/>
          <w:vertAlign w:val="subscript"/>
          <w:lang w:val="en-US" w:eastAsia="zh-CN"/>
        </w:rPr>
        <w:t>3</w:t>
      </w:r>
      <w:r>
        <w:rPr>
          <w:rFonts w:hint="eastAsia" w:ascii="Times New Roman" w:hAnsi="Times New Roman"/>
          <w:lang w:val="en-US" w:eastAsia="zh-CN"/>
        </w:rPr>
        <w:t>、CO)连续自动监测系统技术要求及监测方法</w:t>
      </w:r>
    </w:p>
    <w:bookmarkEnd w:id="3"/>
    <w:bookmarkEnd w:id="4"/>
    <w:p w14:paraId="52A4D66B">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lang w:val="en-US" w:eastAsia="zh-CN"/>
        </w:rPr>
      </w:pPr>
      <w:r>
        <w:rPr>
          <w:rFonts w:hint="eastAsia" w:ascii="Times New Roman" w:hAnsi="Times New Roman"/>
          <w:lang w:val="en-US" w:eastAsia="zh-CN"/>
        </w:rPr>
        <w:t>凡是注日期的引用文件，仅注日期的版本适用于本规范，凡是不注日期的引用文件，其最新版本（包括所有的修改单）适用于本规范。</w:t>
      </w:r>
    </w:p>
    <w:p w14:paraId="4AEF88C7">
      <w:pPr>
        <w:pStyle w:val="36"/>
        <w:keepNext w:val="0"/>
        <w:keepLines w:val="0"/>
        <w:pageBreakBefore w:val="0"/>
        <w:widowControl w:val="0"/>
        <w:kinsoku/>
        <w:wordWrap/>
        <w:overflowPunct/>
        <w:topLinePunct w:val="0"/>
        <w:autoSpaceDE/>
        <w:autoSpaceDN/>
        <w:bidi w:val="0"/>
        <w:adjustRightInd w:val="0"/>
        <w:snapToGrid w:val="0"/>
        <w:spacing w:line="300" w:lineRule="auto"/>
        <w:ind w:firstLine="488"/>
        <w:jc w:val="both"/>
        <w:textAlignment w:val="auto"/>
        <w:rPr>
          <w:rFonts w:hint="eastAsia" w:ascii="Times New Roman" w:hAnsi="Times New Roman"/>
          <w:b/>
          <w:bCs/>
          <w:lang w:val="en-US" w:eastAsia="zh-CN"/>
        </w:rPr>
      </w:pPr>
      <w:r>
        <w:rPr>
          <w:rFonts w:hint="eastAsia" w:ascii="Times New Roman" w:hAnsi="Times New Roman"/>
          <w:b/>
          <w:bCs/>
          <w:lang w:val="en-US" w:eastAsia="zh-CN"/>
        </w:rPr>
        <w:t>3 术语和定义</w:t>
      </w:r>
    </w:p>
    <w:p w14:paraId="7F2058D0">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重复性 参考JJF 1001 5.13 定义，标准中不在定义。</w:t>
      </w:r>
    </w:p>
    <w:p w14:paraId="20BA2FD0">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检测器 参考JJF1001 6.9 定义，标准中不在定义。</w:t>
      </w:r>
    </w:p>
    <w:p w14:paraId="586569F0">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分辨力 参考JJF 1001 7.14定义，标准中不在定义。</w:t>
      </w:r>
    </w:p>
    <w:p w14:paraId="290D47DF">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cs="Times New Roman"/>
          <w:color w:val="auto"/>
          <w:spacing w:val="2"/>
          <w:kern w:val="0"/>
          <w:sz w:val="24"/>
          <w:szCs w:val="21"/>
          <w:lang w:val="en-US" w:eastAsia="zh-CN" w:bidi="ar-SA"/>
        </w:rPr>
        <w:t>零点漂移和量程漂移</w:t>
      </w:r>
      <w:r>
        <w:rPr>
          <w:rFonts w:hint="eastAsia" w:ascii="Times New Roman" w:hAnsi="Times New Roman" w:eastAsia="SimSun" w:cs="Times New Roman"/>
          <w:color w:val="auto"/>
          <w:spacing w:val="2"/>
          <w:kern w:val="0"/>
          <w:sz w:val="24"/>
          <w:szCs w:val="21"/>
          <w:lang w:val="en-US" w:eastAsia="zh-CN" w:bidi="ar-SA"/>
        </w:rPr>
        <w:t>参考JJF1001 7.19</w:t>
      </w:r>
      <w:r>
        <w:rPr>
          <w:rFonts w:hint="eastAsia" w:ascii="Times New Roman" w:hAnsi="Times New Roman" w:cs="Times New Roman"/>
          <w:color w:val="auto"/>
          <w:spacing w:val="2"/>
          <w:kern w:val="0"/>
          <w:sz w:val="24"/>
          <w:szCs w:val="21"/>
          <w:lang w:val="en-US" w:eastAsia="zh-CN" w:bidi="ar-SA"/>
        </w:rPr>
        <w:t>(稳定性)和</w:t>
      </w:r>
      <w:r>
        <w:rPr>
          <w:rFonts w:hint="eastAsia" w:ascii="Times New Roman" w:hAnsi="Times New Roman" w:eastAsia="SimSun" w:cs="Times New Roman"/>
          <w:color w:val="auto"/>
          <w:spacing w:val="2"/>
          <w:kern w:val="0"/>
          <w:sz w:val="24"/>
          <w:szCs w:val="21"/>
          <w:lang w:val="en-US" w:eastAsia="zh-CN" w:bidi="ar-SA"/>
        </w:rPr>
        <w:t>JJF1001 7.21</w:t>
      </w:r>
      <w:r>
        <w:rPr>
          <w:rFonts w:hint="eastAsia" w:ascii="Times New Roman" w:hAnsi="Times New Roman" w:cs="Times New Roman"/>
          <w:color w:val="auto"/>
          <w:spacing w:val="2"/>
          <w:kern w:val="0"/>
          <w:sz w:val="24"/>
          <w:szCs w:val="21"/>
          <w:lang w:val="en-US" w:eastAsia="zh-CN" w:bidi="ar-SA"/>
        </w:rPr>
        <w:t>(仪器漂移)和</w:t>
      </w:r>
      <w:r>
        <w:rPr>
          <w:rFonts w:hint="eastAsia" w:ascii="Times New Roman" w:hAnsi="Times New Roman" w:eastAsia="SimSun" w:cs="Times New Roman"/>
          <w:color w:val="auto"/>
          <w:spacing w:val="2"/>
          <w:kern w:val="0"/>
          <w:sz w:val="24"/>
          <w:szCs w:val="21"/>
          <w:lang w:val="en-US" w:eastAsia="zh-CN" w:bidi="ar-SA"/>
        </w:rPr>
        <w:t>ICAO国际民用航空公约 附件16《环境保护》第II卷 — 《航空器发动机的排放物》</w:t>
      </w:r>
      <w:r>
        <w:rPr>
          <w:rFonts w:hint="eastAsia" w:ascii="Times New Roman" w:hAnsi="Times New Roman" w:cs="Times New Roman"/>
          <w:color w:val="auto"/>
          <w:spacing w:val="2"/>
          <w:kern w:val="0"/>
          <w:sz w:val="24"/>
          <w:szCs w:val="21"/>
          <w:lang w:val="en-US" w:eastAsia="zh-CN" w:bidi="ar-SA"/>
        </w:rPr>
        <w:t>、ARP1256E进行</w:t>
      </w:r>
      <w:r>
        <w:rPr>
          <w:rFonts w:hint="eastAsia" w:ascii="Times New Roman" w:hAnsi="Times New Roman" w:eastAsia="SimSun" w:cs="Times New Roman"/>
          <w:color w:val="auto"/>
          <w:spacing w:val="2"/>
          <w:kern w:val="0"/>
          <w:sz w:val="24"/>
          <w:szCs w:val="21"/>
          <w:lang w:val="en-US" w:eastAsia="zh-CN" w:bidi="ar-SA"/>
        </w:rPr>
        <w:t>定义。</w:t>
      </w:r>
    </w:p>
    <w:p w14:paraId="620E3F7C">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参考ICAO国际民用航空公约 附件16《环境保护》第II卷 — 《航空器发动机的排放物》、HB 6117—2020 航空燃气涡轮发动机气态污染物的连续取样及测量方法和HJ 1012环境空气和废气总烃甲烷和非甲烷总烃便携式监测仪技术要求及检测方法对气态排放物、零点气体、噪声、协同效应、气体浓度、百万分率、百万分率碳、未燃烧的碳氢化合物进行了明确定义。</w:t>
      </w:r>
    </w:p>
    <w:p w14:paraId="679EF0DE">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b/>
          <w:bCs/>
          <w:color w:val="auto"/>
          <w:spacing w:val="2"/>
          <w:kern w:val="0"/>
          <w:sz w:val="24"/>
          <w:szCs w:val="21"/>
          <w:lang w:val="en-US" w:eastAsia="zh-CN" w:bidi="ar-SA"/>
        </w:rPr>
      </w:pPr>
      <w:r>
        <w:rPr>
          <w:rFonts w:hint="eastAsia" w:ascii="Times New Roman" w:hAnsi="Times New Roman" w:eastAsia="SimSun" w:cs="Times New Roman"/>
          <w:b/>
          <w:bCs/>
          <w:color w:val="auto"/>
          <w:spacing w:val="2"/>
          <w:kern w:val="0"/>
          <w:sz w:val="24"/>
          <w:szCs w:val="21"/>
          <w:lang w:val="en-US" w:eastAsia="zh-CN" w:bidi="ar-SA"/>
        </w:rPr>
        <w:t>4 概述</w:t>
      </w:r>
    </w:p>
    <w:p w14:paraId="10B94D61">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描述了航空发动机气体排放物测量系统原理、构造和用途。</w:t>
      </w:r>
    </w:p>
    <w:p w14:paraId="5C87789F">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气态排放物测量系统一般由取样探针、取样管路、气态分析仪子系统、辅助气子系统、控制和数据采集子系统组成。航空发动机气态排放物(HC)测量系统的测量元件是火焰离子化检测器(flame ionization detector，简称FID)，以氢气和空气燃烧生成的火焰为能源，当有机化合物进入火焰时，在高温下产生化学电离，电离产生的离子流与进入火焰的有机化合物量成正比，根据信号的大小对有机物进行定量分析，测量气体样本中所含的各类碳氢化合物的总和。航空发动机气态排放物通过取样探针收集，取样探针出口的样气经过温度、压力、流量等调节后，进入分析仪能测量出气体成分体积浓度，通过计算能得出气态污染物排放指数等性能参数。</w:t>
      </w:r>
    </w:p>
    <w:p w14:paraId="4B2F060C">
      <w:pPr>
        <w:pStyle w:val="40"/>
        <w:ind w:left="0" w:leftChars="0" w:firstLine="0" w:firstLineChars="0"/>
      </w:pPr>
      <w:r>
        <w:drawing>
          <wp:inline distT="0" distB="0" distL="114300" distR="114300">
            <wp:extent cx="5189855" cy="3370580"/>
            <wp:effectExtent l="9525" t="9525" r="12700" b="184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189855" cy="3370580"/>
                    </a:xfrm>
                    <a:prstGeom prst="rect">
                      <a:avLst/>
                    </a:prstGeom>
                    <a:ln>
                      <a:solidFill>
                        <a:schemeClr val="tx1"/>
                      </a:solidFill>
                    </a:ln>
                  </pic:spPr>
                </pic:pic>
              </a:graphicData>
            </a:graphic>
          </wp:inline>
        </w:drawing>
      </w:r>
    </w:p>
    <w:p w14:paraId="27285A0A">
      <w:pPr>
        <w:pStyle w:val="6"/>
        <w:jc w:val="center"/>
        <w:rPr>
          <w:rFonts w:hint="default" w:ascii="SimHei" w:hAnsi="SimHei"/>
          <w:sz w:val="21"/>
          <w:szCs w:val="21"/>
          <w:lang w:val="en-US" w:eastAsia="zh-CN"/>
        </w:rPr>
      </w:pPr>
      <w:r>
        <w:rPr>
          <w:rFonts w:hint="eastAsia" w:ascii="SimHei" w:hAnsi="SimHei"/>
          <w:sz w:val="21"/>
          <w:szCs w:val="21"/>
        </w:rPr>
        <w:t>图1 发动机气态排放物测量系统测量原理示意图</w:t>
      </w:r>
    </w:p>
    <w:p w14:paraId="7BEA84CD">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b/>
          <w:bCs/>
          <w:color w:val="auto"/>
          <w:spacing w:val="2"/>
          <w:kern w:val="0"/>
          <w:sz w:val="24"/>
          <w:szCs w:val="21"/>
          <w:lang w:val="en-US" w:eastAsia="zh-CN" w:bidi="ar-SA"/>
        </w:rPr>
      </w:pPr>
      <w:r>
        <w:rPr>
          <w:rFonts w:hint="eastAsia" w:ascii="Times New Roman" w:hAnsi="Times New Roman" w:eastAsia="SimSun" w:cs="Times New Roman"/>
          <w:b/>
          <w:bCs/>
          <w:color w:val="auto"/>
          <w:spacing w:val="2"/>
          <w:kern w:val="0"/>
          <w:sz w:val="24"/>
          <w:szCs w:val="21"/>
          <w:lang w:val="en-US" w:eastAsia="zh-CN" w:bidi="ar-SA"/>
        </w:rPr>
        <w:t>5计量特性</w:t>
      </w:r>
    </w:p>
    <w:p w14:paraId="60E7A5C2">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描述了航空发动机气态排放物(HC)测量系统的计量特性及指标要求。</w:t>
      </w:r>
    </w:p>
    <w:p w14:paraId="47F0618D">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根据ICAO国际民用航空公约 附件16《环境保护》第II卷 — 《航空器发动机的排放物》附录3附录A 碳氢化合物分析仪的规格中的要求，对测量系统提出了计量特性(示值引用误差、线性度、重复性、漂移、噪声、协同效应)要求，同时参考HB 6117航空燃气涡轮发动机气态污染物的连续取样及测量方法和SAE ARP 1256 Procedure for the Continuous Sampling and Measurement of Gaseous Emissions from Aircraft Turbine Engines，以满足适航审查要求。</w:t>
      </w:r>
    </w:p>
    <w:p w14:paraId="5FFD11B4">
      <w:pPr>
        <w:pStyle w:val="6"/>
        <w:jc w:val="center"/>
        <w:rPr>
          <w:rFonts w:ascii="SimHei" w:hAnsi="SimHei"/>
          <w:sz w:val="21"/>
          <w:szCs w:val="21"/>
        </w:rPr>
      </w:pPr>
      <w:r>
        <w:rPr>
          <w:rFonts w:ascii="SimHei" w:hAnsi="SimHei"/>
          <w:sz w:val="21"/>
          <w:szCs w:val="21"/>
        </w:rPr>
        <w:t xml:space="preserve">表 </w:t>
      </w:r>
      <w:r>
        <w:rPr>
          <w:rFonts w:ascii="SimHei" w:hAnsi="SimHei"/>
          <w:sz w:val="21"/>
          <w:szCs w:val="21"/>
        </w:rPr>
        <w:fldChar w:fldCharType="begin"/>
      </w:r>
      <w:r>
        <w:rPr>
          <w:rFonts w:ascii="SimHei" w:hAnsi="SimHei"/>
          <w:sz w:val="21"/>
          <w:szCs w:val="21"/>
        </w:rPr>
        <w:instrText xml:space="preserve"> SEQ 表 \* ARABIC </w:instrText>
      </w:r>
      <w:r>
        <w:rPr>
          <w:rFonts w:ascii="SimHei" w:hAnsi="SimHei"/>
          <w:sz w:val="21"/>
          <w:szCs w:val="21"/>
        </w:rPr>
        <w:fldChar w:fldCharType="separate"/>
      </w:r>
      <w:r>
        <w:rPr>
          <w:rFonts w:ascii="SimHei" w:hAnsi="SimHei"/>
          <w:sz w:val="21"/>
          <w:szCs w:val="21"/>
        </w:rPr>
        <w:t>1</w:t>
      </w:r>
      <w:r>
        <w:rPr>
          <w:rFonts w:ascii="SimHei" w:hAnsi="SimHei"/>
          <w:sz w:val="21"/>
          <w:szCs w:val="21"/>
        </w:rPr>
        <w:fldChar w:fldCharType="end"/>
      </w:r>
      <w:r>
        <w:rPr>
          <w:rFonts w:hint="eastAsia" w:ascii="SimHei" w:hAnsi="SimHei"/>
          <w:sz w:val="21"/>
          <w:szCs w:val="21"/>
        </w:rPr>
        <w:t>计量特性</w:t>
      </w:r>
    </w:p>
    <w:tbl>
      <w:tblPr>
        <w:tblStyle w:val="17"/>
        <w:tblpPr w:leftFromText="180" w:rightFromText="180" w:vertAnchor="text" w:tblpXSpec="center" w:tblpY="1"/>
        <w:tblOverlap w:val="never"/>
        <w:tblW w:w="8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813"/>
        <w:gridCol w:w="5614"/>
      </w:tblGrid>
      <w:tr w14:paraId="383E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33AE0E92">
            <w:pPr>
              <w:spacing w:line="240" w:lineRule="auto"/>
              <w:ind w:firstLine="0"/>
              <w:jc w:val="center"/>
              <w:rPr>
                <w:sz w:val="21"/>
                <w:szCs w:val="21"/>
              </w:rPr>
            </w:pPr>
            <w:bookmarkStart w:id="5" w:name="_Toc145935196"/>
            <w:bookmarkStart w:id="6" w:name="_Toc142419979"/>
            <w:bookmarkStart w:id="7" w:name="_Toc145935450"/>
            <w:r>
              <w:rPr>
                <w:rFonts w:hint="eastAsia"/>
                <w:sz w:val="21"/>
                <w:szCs w:val="21"/>
              </w:rPr>
              <w:t>序号</w:t>
            </w:r>
            <w:bookmarkEnd w:id="5"/>
            <w:bookmarkEnd w:id="6"/>
            <w:bookmarkEnd w:id="7"/>
          </w:p>
        </w:tc>
        <w:tc>
          <w:tcPr>
            <w:tcW w:w="1813" w:type="dxa"/>
            <w:vAlign w:val="center"/>
          </w:tcPr>
          <w:p w14:paraId="4B787886">
            <w:pPr>
              <w:spacing w:line="240" w:lineRule="auto"/>
              <w:ind w:firstLine="0"/>
              <w:jc w:val="center"/>
              <w:rPr>
                <w:sz w:val="21"/>
                <w:szCs w:val="21"/>
              </w:rPr>
            </w:pPr>
            <w:bookmarkStart w:id="8" w:name="_Toc142419980"/>
            <w:bookmarkStart w:id="9" w:name="_Toc145935197"/>
            <w:bookmarkStart w:id="10" w:name="_Toc145935451"/>
            <w:r>
              <w:rPr>
                <w:rFonts w:hint="eastAsia"/>
                <w:sz w:val="21"/>
                <w:szCs w:val="21"/>
              </w:rPr>
              <w:t>校准项目</w:t>
            </w:r>
            <w:bookmarkEnd w:id="8"/>
            <w:bookmarkEnd w:id="9"/>
            <w:bookmarkEnd w:id="10"/>
          </w:p>
        </w:tc>
        <w:tc>
          <w:tcPr>
            <w:tcW w:w="5614" w:type="dxa"/>
            <w:vAlign w:val="center"/>
          </w:tcPr>
          <w:p w14:paraId="0CCF1EB3">
            <w:pPr>
              <w:spacing w:line="240" w:lineRule="auto"/>
              <w:ind w:firstLine="0"/>
              <w:jc w:val="center"/>
              <w:rPr>
                <w:sz w:val="21"/>
                <w:szCs w:val="21"/>
              </w:rPr>
            </w:pPr>
            <w:bookmarkStart w:id="11" w:name="_Toc145935453"/>
            <w:bookmarkStart w:id="12" w:name="_Toc142419982"/>
            <w:bookmarkStart w:id="13" w:name="_Toc145935199"/>
            <w:r>
              <w:rPr>
                <w:rFonts w:hint="eastAsia"/>
                <w:sz w:val="21"/>
                <w:szCs w:val="21"/>
              </w:rPr>
              <w:t>技术指标</w:t>
            </w:r>
            <w:bookmarkEnd w:id="11"/>
            <w:bookmarkEnd w:id="12"/>
            <w:bookmarkEnd w:id="13"/>
          </w:p>
        </w:tc>
      </w:tr>
      <w:tr w14:paraId="6613A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16" w:type="dxa"/>
            <w:vAlign w:val="center"/>
          </w:tcPr>
          <w:p w14:paraId="130D6F83">
            <w:pPr>
              <w:spacing w:line="240" w:lineRule="auto"/>
              <w:ind w:firstLine="0"/>
              <w:jc w:val="center"/>
              <w:rPr>
                <w:sz w:val="21"/>
                <w:szCs w:val="21"/>
              </w:rPr>
            </w:pPr>
            <w:bookmarkStart w:id="14" w:name="_Toc145935454"/>
            <w:bookmarkStart w:id="15" w:name="_Toc142419983"/>
            <w:bookmarkStart w:id="16" w:name="_Toc145935200"/>
            <w:r>
              <w:rPr>
                <w:rFonts w:hint="eastAsia"/>
                <w:sz w:val="21"/>
                <w:szCs w:val="21"/>
              </w:rPr>
              <w:t>1</w:t>
            </w:r>
            <w:bookmarkEnd w:id="14"/>
            <w:bookmarkEnd w:id="15"/>
            <w:bookmarkEnd w:id="16"/>
          </w:p>
        </w:tc>
        <w:tc>
          <w:tcPr>
            <w:tcW w:w="1813" w:type="dxa"/>
            <w:vAlign w:val="center"/>
          </w:tcPr>
          <w:p w14:paraId="7C0D69D2">
            <w:pPr>
              <w:spacing w:line="240" w:lineRule="auto"/>
              <w:ind w:firstLine="0"/>
              <w:jc w:val="center"/>
              <w:rPr>
                <w:sz w:val="21"/>
                <w:szCs w:val="21"/>
              </w:rPr>
            </w:pPr>
            <w:r>
              <w:rPr>
                <w:rFonts w:hint="eastAsia"/>
                <w:sz w:val="21"/>
                <w:szCs w:val="21"/>
              </w:rPr>
              <w:t>分辨率</w:t>
            </w:r>
          </w:p>
        </w:tc>
        <w:tc>
          <w:tcPr>
            <w:tcW w:w="5614" w:type="dxa"/>
            <w:vAlign w:val="center"/>
          </w:tcPr>
          <w:p w14:paraId="44D3395F">
            <w:pPr>
              <w:spacing w:line="240" w:lineRule="auto"/>
              <w:jc w:val="center"/>
              <w:rPr>
                <w:sz w:val="21"/>
                <w:szCs w:val="21"/>
              </w:rPr>
            </w:pPr>
            <w:r>
              <w:rPr>
                <w:rFonts w:hint="eastAsia"/>
                <w:sz w:val="21"/>
                <w:szCs w:val="21"/>
              </w:rPr>
              <w:t>优于所</w:t>
            </w:r>
            <w:r>
              <w:rPr>
                <w:rFonts w:hint="eastAsia"/>
                <w:sz w:val="21"/>
                <w:szCs w:val="21"/>
                <w:lang w:val="en-US" w:eastAsia="zh-CN"/>
              </w:rPr>
              <w:t>选量程</w:t>
            </w:r>
            <w:r>
              <w:rPr>
                <w:rFonts w:hint="eastAsia"/>
                <w:sz w:val="21"/>
                <w:szCs w:val="21"/>
              </w:rPr>
              <w:t>的0.5%或0.5</w:t>
            </w:r>
            <w:r>
              <w:t>μmol/mol</w:t>
            </w:r>
            <w:r>
              <w:rPr>
                <w:rFonts w:hint="eastAsia"/>
                <w:sz w:val="21"/>
                <w:szCs w:val="21"/>
              </w:rPr>
              <w:t>，</w:t>
            </w:r>
            <w:r>
              <w:rPr>
                <w:rFonts w:hint="eastAsia"/>
                <w:sz w:val="21"/>
                <w:szCs w:val="21"/>
                <w:lang w:val="en-US" w:eastAsia="zh-CN"/>
              </w:rPr>
              <w:t>满足其一即可</w:t>
            </w:r>
            <w:r>
              <w:rPr>
                <w:rFonts w:hint="eastAsia"/>
                <w:sz w:val="21"/>
                <w:szCs w:val="21"/>
              </w:rPr>
              <w:t>。</w:t>
            </w:r>
          </w:p>
        </w:tc>
      </w:tr>
      <w:tr w14:paraId="594B0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50D6495D">
            <w:pPr>
              <w:spacing w:line="240" w:lineRule="auto"/>
              <w:ind w:firstLine="0"/>
              <w:jc w:val="center"/>
              <w:rPr>
                <w:rFonts w:hint="eastAsia" w:eastAsia="SimSun"/>
                <w:sz w:val="21"/>
                <w:szCs w:val="21"/>
                <w:lang w:val="en-US" w:eastAsia="zh-CN"/>
              </w:rPr>
            </w:pPr>
            <w:bookmarkStart w:id="17" w:name="_Toc145935457"/>
            <w:bookmarkStart w:id="18" w:name="_Toc142419986"/>
            <w:bookmarkStart w:id="19" w:name="_Toc145935203"/>
            <w:r>
              <w:rPr>
                <w:rFonts w:hint="eastAsia"/>
                <w:sz w:val="21"/>
                <w:szCs w:val="21"/>
                <w:lang w:val="en-US" w:eastAsia="zh-CN"/>
              </w:rPr>
              <w:t>2</w:t>
            </w:r>
          </w:p>
        </w:tc>
        <w:tc>
          <w:tcPr>
            <w:tcW w:w="1813" w:type="dxa"/>
            <w:vAlign w:val="center"/>
          </w:tcPr>
          <w:p w14:paraId="785B078D">
            <w:pPr>
              <w:spacing w:line="240" w:lineRule="auto"/>
              <w:ind w:firstLine="0" w:firstLineChars="0"/>
              <w:jc w:val="center"/>
              <w:rPr>
                <w:rFonts w:hint="default"/>
                <w:sz w:val="21"/>
                <w:szCs w:val="21"/>
                <w:lang w:val="en-US"/>
              </w:rPr>
            </w:pPr>
            <w:r>
              <w:rPr>
                <w:rFonts w:hint="eastAsia"/>
                <w:sz w:val="21"/>
                <w:szCs w:val="21"/>
                <w:lang w:val="en-US" w:eastAsia="zh-CN"/>
              </w:rPr>
              <w:t>示值引用误差</w:t>
            </w:r>
          </w:p>
        </w:tc>
        <w:tc>
          <w:tcPr>
            <w:tcW w:w="5614" w:type="dxa"/>
            <w:vAlign w:val="center"/>
          </w:tcPr>
          <w:p w14:paraId="0746AD93">
            <w:pPr>
              <w:spacing w:line="240" w:lineRule="auto"/>
              <w:ind w:firstLine="420" w:firstLineChars="0"/>
              <w:jc w:val="center"/>
              <w:rPr>
                <w:rFonts w:hint="eastAsia"/>
                <w:sz w:val="21"/>
                <w:szCs w:val="21"/>
              </w:rPr>
            </w:pPr>
            <w:r>
              <w:rPr>
                <w:rFonts w:hint="eastAsia"/>
                <w:sz w:val="21"/>
                <w:szCs w:val="21"/>
                <w:lang w:val="en-US" w:eastAsia="zh-CN"/>
              </w:rPr>
              <w:t>优于</w:t>
            </w:r>
            <w:r>
              <w:rPr>
                <w:rFonts w:hint="eastAsia"/>
                <w:sz w:val="21"/>
                <w:szCs w:val="21"/>
              </w:rPr>
              <w:t>所</w:t>
            </w:r>
            <w:r>
              <w:rPr>
                <w:rFonts w:hint="eastAsia"/>
                <w:sz w:val="21"/>
                <w:szCs w:val="21"/>
                <w:lang w:val="en-US" w:eastAsia="zh-CN"/>
              </w:rPr>
              <w:t>选量程</w:t>
            </w:r>
            <w:r>
              <w:rPr>
                <w:rFonts w:hint="eastAsia"/>
                <w:sz w:val="21"/>
                <w:szCs w:val="21"/>
              </w:rPr>
              <w:t>的±2%。</w:t>
            </w:r>
          </w:p>
        </w:tc>
      </w:tr>
      <w:tr w14:paraId="609B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27A20626">
            <w:pPr>
              <w:spacing w:line="240" w:lineRule="auto"/>
              <w:ind w:firstLine="0"/>
              <w:jc w:val="center"/>
              <w:rPr>
                <w:rFonts w:hint="default"/>
                <w:sz w:val="21"/>
                <w:szCs w:val="21"/>
                <w:lang w:val="en-US" w:eastAsia="zh-CN"/>
              </w:rPr>
            </w:pPr>
            <w:r>
              <w:rPr>
                <w:rFonts w:hint="eastAsia"/>
                <w:sz w:val="21"/>
                <w:szCs w:val="21"/>
                <w:lang w:val="en-US" w:eastAsia="zh-CN"/>
              </w:rPr>
              <w:t>3</w:t>
            </w:r>
          </w:p>
        </w:tc>
        <w:tc>
          <w:tcPr>
            <w:tcW w:w="1813" w:type="dxa"/>
            <w:vAlign w:val="center"/>
          </w:tcPr>
          <w:p w14:paraId="02DE7FA3">
            <w:pPr>
              <w:spacing w:line="240" w:lineRule="auto"/>
              <w:ind w:firstLine="0"/>
              <w:jc w:val="center"/>
              <w:rPr>
                <w:rFonts w:hint="eastAsia" w:eastAsia="SimSun"/>
                <w:sz w:val="21"/>
                <w:szCs w:val="21"/>
                <w:lang w:val="en-US" w:eastAsia="zh-CN"/>
              </w:rPr>
            </w:pPr>
            <w:r>
              <w:rPr>
                <w:rFonts w:hint="eastAsia"/>
                <w:sz w:val="21"/>
                <w:szCs w:val="21"/>
                <w:lang w:val="en-US" w:eastAsia="zh-CN"/>
              </w:rPr>
              <w:t>线性度</w:t>
            </w:r>
          </w:p>
        </w:tc>
        <w:tc>
          <w:tcPr>
            <w:tcW w:w="5614" w:type="dxa"/>
            <w:vAlign w:val="center"/>
          </w:tcPr>
          <w:p w14:paraId="31F187B1">
            <w:pPr>
              <w:spacing w:line="240" w:lineRule="auto"/>
              <w:jc w:val="center"/>
              <w:rPr>
                <w:rFonts w:hint="eastAsia"/>
                <w:sz w:val="21"/>
                <w:szCs w:val="21"/>
              </w:rPr>
            </w:pPr>
            <w:r>
              <w:rPr>
                <w:rFonts w:hint="eastAsia"/>
                <w:sz w:val="21"/>
                <w:szCs w:val="21"/>
                <w:lang w:val="en-US" w:eastAsia="zh-CN"/>
              </w:rPr>
              <w:t>优于</w:t>
            </w:r>
            <w:r>
              <w:rPr>
                <w:rFonts w:hint="eastAsia"/>
                <w:sz w:val="21"/>
                <w:szCs w:val="21"/>
              </w:rPr>
              <w:t>所</w:t>
            </w:r>
            <w:r>
              <w:rPr>
                <w:rFonts w:hint="eastAsia"/>
                <w:sz w:val="21"/>
                <w:szCs w:val="21"/>
                <w:lang w:val="en-US" w:eastAsia="zh-CN"/>
              </w:rPr>
              <w:t>选量程</w:t>
            </w:r>
            <w:r>
              <w:rPr>
                <w:rFonts w:hint="eastAsia"/>
                <w:sz w:val="21"/>
                <w:szCs w:val="21"/>
              </w:rPr>
              <w:t>的±2%。</w:t>
            </w:r>
          </w:p>
        </w:tc>
      </w:tr>
      <w:bookmarkEnd w:id="17"/>
      <w:bookmarkEnd w:id="18"/>
      <w:bookmarkEnd w:id="19"/>
      <w:tr w14:paraId="502DF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34ABE2D4">
            <w:pPr>
              <w:spacing w:line="240" w:lineRule="auto"/>
              <w:ind w:firstLine="0"/>
              <w:jc w:val="center"/>
              <w:rPr>
                <w:rFonts w:hint="default" w:eastAsia="SimSun"/>
                <w:sz w:val="21"/>
                <w:szCs w:val="21"/>
                <w:lang w:val="en-US" w:eastAsia="zh-CN"/>
              </w:rPr>
            </w:pPr>
            <w:r>
              <w:rPr>
                <w:rFonts w:hint="eastAsia"/>
                <w:sz w:val="21"/>
                <w:szCs w:val="21"/>
                <w:lang w:val="en-US" w:eastAsia="zh-CN"/>
              </w:rPr>
              <w:t>4</w:t>
            </w:r>
          </w:p>
        </w:tc>
        <w:tc>
          <w:tcPr>
            <w:tcW w:w="1813" w:type="dxa"/>
            <w:vAlign w:val="center"/>
          </w:tcPr>
          <w:p w14:paraId="5A5F249E">
            <w:pPr>
              <w:spacing w:line="240" w:lineRule="auto"/>
              <w:ind w:firstLine="0"/>
              <w:jc w:val="center"/>
              <w:rPr>
                <w:sz w:val="21"/>
                <w:szCs w:val="21"/>
              </w:rPr>
            </w:pPr>
            <w:r>
              <w:rPr>
                <w:rFonts w:hint="eastAsia"/>
                <w:sz w:val="21"/>
                <w:szCs w:val="21"/>
              </w:rPr>
              <w:t>重复性</w:t>
            </w:r>
          </w:p>
        </w:tc>
        <w:tc>
          <w:tcPr>
            <w:tcW w:w="5614" w:type="dxa"/>
            <w:vAlign w:val="center"/>
          </w:tcPr>
          <w:p w14:paraId="5447BE8F">
            <w:pPr>
              <w:spacing w:line="240" w:lineRule="auto"/>
              <w:ind w:left="0" w:leftChars="0" w:firstLine="0" w:firstLineChars="0"/>
              <w:jc w:val="both"/>
              <w:rPr>
                <w:sz w:val="21"/>
                <w:szCs w:val="21"/>
              </w:rPr>
            </w:pPr>
            <w:r>
              <w:rPr>
                <w:rFonts w:hint="eastAsia"/>
                <w:sz w:val="21"/>
                <w:szCs w:val="21"/>
              </w:rPr>
              <w:t>优于所</w:t>
            </w:r>
            <w:r>
              <w:rPr>
                <w:rFonts w:hint="eastAsia"/>
                <w:sz w:val="21"/>
                <w:szCs w:val="21"/>
                <w:lang w:val="en-US" w:eastAsia="zh-CN"/>
              </w:rPr>
              <w:t>选量程</w:t>
            </w:r>
            <w:r>
              <w:rPr>
                <w:rFonts w:hint="eastAsia"/>
                <w:sz w:val="21"/>
                <w:szCs w:val="21"/>
              </w:rPr>
              <w:t>的±1%或±0.5</w:t>
            </w:r>
            <w:r>
              <w:t>μmol/mol</w:t>
            </w:r>
            <w:r>
              <w:rPr>
                <w:rFonts w:hint="eastAsia"/>
                <w:sz w:val="21"/>
                <w:szCs w:val="21"/>
              </w:rPr>
              <w:t>，</w:t>
            </w:r>
            <w:r>
              <w:rPr>
                <w:rFonts w:hint="eastAsia"/>
                <w:sz w:val="21"/>
                <w:szCs w:val="21"/>
                <w:lang w:val="en-US" w:eastAsia="zh-CN"/>
              </w:rPr>
              <w:t>满足其一即可</w:t>
            </w:r>
            <w:r>
              <w:rPr>
                <w:rFonts w:hint="eastAsia"/>
                <w:sz w:val="21"/>
                <w:szCs w:val="21"/>
              </w:rPr>
              <w:t>。</w:t>
            </w:r>
          </w:p>
        </w:tc>
      </w:tr>
      <w:tr w14:paraId="277D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09B2ED8A">
            <w:pPr>
              <w:spacing w:line="240" w:lineRule="auto"/>
              <w:ind w:firstLine="0"/>
              <w:jc w:val="center"/>
              <w:rPr>
                <w:rFonts w:hint="default" w:eastAsia="SimSun"/>
                <w:sz w:val="21"/>
                <w:szCs w:val="21"/>
                <w:lang w:val="en-US" w:eastAsia="zh-CN"/>
              </w:rPr>
            </w:pPr>
            <w:r>
              <w:rPr>
                <w:rFonts w:hint="eastAsia"/>
                <w:sz w:val="21"/>
                <w:szCs w:val="21"/>
                <w:lang w:val="en-US" w:eastAsia="zh-CN"/>
              </w:rPr>
              <w:t>5</w:t>
            </w:r>
          </w:p>
        </w:tc>
        <w:tc>
          <w:tcPr>
            <w:tcW w:w="1813" w:type="dxa"/>
            <w:vAlign w:val="center"/>
          </w:tcPr>
          <w:p w14:paraId="0BA8804A">
            <w:pPr>
              <w:spacing w:line="240" w:lineRule="auto"/>
              <w:ind w:firstLine="0"/>
              <w:jc w:val="center"/>
              <w:rPr>
                <w:rFonts w:hint="default" w:eastAsia="SimSun"/>
                <w:sz w:val="21"/>
                <w:szCs w:val="21"/>
                <w:lang w:val="en-US" w:eastAsia="zh-CN"/>
              </w:rPr>
            </w:pPr>
            <w:r>
              <w:rPr>
                <w:rFonts w:hint="eastAsia"/>
                <w:sz w:val="21"/>
                <w:szCs w:val="21"/>
                <w:lang w:val="en-US" w:eastAsia="zh-CN"/>
              </w:rPr>
              <w:t>量程漂移</w:t>
            </w:r>
          </w:p>
        </w:tc>
        <w:tc>
          <w:tcPr>
            <w:tcW w:w="5614" w:type="dxa"/>
            <w:vAlign w:val="center"/>
          </w:tcPr>
          <w:p w14:paraId="098311F0">
            <w:pPr>
              <w:spacing w:line="240" w:lineRule="auto"/>
              <w:jc w:val="center"/>
              <w:rPr>
                <w:sz w:val="21"/>
                <w:szCs w:val="21"/>
              </w:rPr>
            </w:pPr>
            <w:r>
              <w:rPr>
                <w:rFonts w:hint="eastAsia"/>
                <w:sz w:val="21"/>
                <w:szCs w:val="21"/>
              </w:rPr>
              <w:t>在1小时时段内，优于所</w:t>
            </w:r>
            <w:r>
              <w:rPr>
                <w:rFonts w:hint="eastAsia"/>
                <w:sz w:val="21"/>
                <w:szCs w:val="21"/>
                <w:lang w:val="en-US" w:eastAsia="zh-CN"/>
              </w:rPr>
              <w:t>选量程</w:t>
            </w:r>
            <w:r>
              <w:rPr>
                <w:rFonts w:hint="eastAsia"/>
                <w:sz w:val="21"/>
                <w:szCs w:val="21"/>
              </w:rPr>
              <w:t>的±2%或±1.0</w:t>
            </w:r>
            <w:r>
              <w:t>μmol/mol</w:t>
            </w:r>
            <w:r>
              <w:rPr>
                <w:rFonts w:hint="eastAsia"/>
                <w:sz w:val="21"/>
                <w:szCs w:val="21"/>
              </w:rPr>
              <w:t>，</w:t>
            </w:r>
            <w:r>
              <w:rPr>
                <w:rFonts w:hint="eastAsia"/>
                <w:sz w:val="21"/>
                <w:szCs w:val="21"/>
                <w:lang w:val="en-US" w:eastAsia="zh-CN"/>
              </w:rPr>
              <w:t>满足其一即可</w:t>
            </w:r>
            <w:r>
              <w:rPr>
                <w:rFonts w:hint="eastAsia"/>
                <w:sz w:val="21"/>
                <w:szCs w:val="21"/>
              </w:rPr>
              <w:t>。</w:t>
            </w:r>
          </w:p>
        </w:tc>
      </w:tr>
      <w:tr w14:paraId="3F75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58CF4C3B">
            <w:pPr>
              <w:spacing w:line="240" w:lineRule="auto"/>
              <w:ind w:firstLine="0"/>
              <w:jc w:val="center"/>
              <w:rPr>
                <w:rFonts w:hint="default" w:eastAsia="SimSun"/>
                <w:sz w:val="21"/>
                <w:szCs w:val="21"/>
                <w:lang w:val="en-US" w:eastAsia="zh-CN"/>
              </w:rPr>
            </w:pPr>
            <w:r>
              <w:rPr>
                <w:rFonts w:hint="eastAsia"/>
                <w:sz w:val="21"/>
                <w:szCs w:val="21"/>
                <w:lang w:val="en-US" w:eastAsia="zh-CN"/>
              </w:rPr>
              <w:t>6</w:t>
            </w:r>
          </w:p>
        </w:tc>
        <w:tc>
          <w:tcPr>
            <w:tcW w:w="1813" w:type="dxa"/>
            <w:vAlign w:val="center"/>
          </w:tcPr>
          <w:p w14:paraId="1B385BB7">
            <w:pPr>
              <w:spacing w:line="240" w:lineRule="auto"/>
              <w:ind w:firstLine="0"/>
              <w:jc w:val="center"/>
              <w:rPr>
                <w:sz w:val="21"/>
                <w:szCs w:val="21"/>
              </w:rPr>
            </w:pPr>
            <w:r>
              <w:rPr>
                <w:rFonts w:hint="eastAsia"/>
                <w:sz w:val="21"/>
                <w:szCs w:val="21"/>
              </w:rPr>
              <w:t>零点漂移</w:t>
            </w:r>
          </w:p>
        </w:tc>
        <w:tc>
          <w:tcPr>
            <w:tcW w:w="5614" w:type="dxa"/>
            <w:vAlign w:val="center"/>
          </w:tcPr>
          <w:p w14:paraId="6CAEC075">
            <w:pPr>
              <w:spacing w:line="240" w:lineRule="auto"/>
              <w:jc w:val="center"/>
              <w:rPr>
                <w:sz w:val="21"/>
                <w:szCs w:val="21"/>
              </w:rPr>
            </w:pPr>
            <w:r>
              <w:rPr>
                <w:rFonts w:hint="eastAsia"/>
                <w:sz w:val="21"/>
                <w:szCs w:val="21"/>
              </w:rPr>
              <w:t>在1小时时段内，</w:t>
            </w:r>
            <w:r>
              <w:rPr>
                <w:rFonts w:hint="eastAsia"/>
                <w:sz w:val="21"/>
                <w:szCs w:val="21"/>
                <w:lang w:val="en-US" w:eastAsia="zh-CN"/>
              </w:rPr>
              <w:t>优</w:t>
            </w:r>
            <w:r>
              <w:rPr>
                <w:rFonts w:hint="eastAsia"/>
                <w:sz w:val="21"/>
                <w:szCs w:val="21"/>
              </w:rPr>
              <w:t>于所</w:t>
            </w:r>
            <w:r>
              <w:rPr>
                <w:rFonts w:hint="eastAsia"/>
                <w:sz w:val="21"/>
                <w:szCs w:val="21"/>
                <w:lang w:val="en-US" w:eastAsia="zh-CN"/>
              </w:rPr>
              <w:t>选量程</w:t>
            </w:r>
            <w:r>
              <w:rPr>
                <w:rFonts w:hint="eastAsia"/>
                <w:sz w:val="21"/>
                <w:szCs w:val="21"/>
              </w:rPr>
              <w:t>的±1%或±0.5</w:t>
            </w:r>
            <w:r>
              <w:t>μmol/mol</w:t>
            </w:r>
            <w:r>
              <w:rPr>
                <w:rFonts w:hint="eastAsia"/>
                <w:sz w:val="21"/>
                <w:szCs w:val="21"/>
              </w:rPr>
              <w:t>，</w:t>
            </w:r>
            <w:r>
              <w:rPr>
                <w:rFonts w:hint="eastAsia"/>
                <w:sz w:val="21"/>
                <w:szCs w:val="21"/>
                <w:lang w:val="en-US" w:eastAsia="zh-CN"/>
              </w:rPr>
              <w:t>满足其一即可</w:t>
            </w:r>
            <w:r>
              <w:rPr>
                <w:rFonts w:hint="eastAsia"/>
                <w:sz w:val="21"/>
                <w:szCs w:val="21"/>
              </w:rPr>
              <w:t>。</w:t>
            </w:r>
          </w:p>
        </w:tc>
      </w:tr>
      <w:tr w14:paraId="7DFD3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0B207DBA">
            <w:pPr>
              <w:spacing w:line="240" w:lineRule="auto"/>
              <w:ind w:firstLine="0"/>
              <w:jc w:val="center"/>
              <w:rPr>
                <w:rFonts w:hint="default" w:eastAsia="SimSun"/>
                <w:sz w:val="21"/>
                <w:szCs w:val="21"/>
                <w:lang w:val="en-US" w:eastAsia="zh-CN"/>
              </w:rPr>
            </w:pPr>
            <w:r>
              <w:rPr>
                <w:rFonts w:hint="eastAsia"/>
                <w:sz w:val="21"/>
                <w:szCs w:val="21"/>
                <w:lang w:val="en-US" w:eastAsia="zh-CN"/>
              </w:rPr>
              <w:t>7</w:t>
            </w:r>
          </w:p>
        </w:tc>
        <w:tc>
          <w:tcPr>
            <w:tcW w:w="1813" w:type="dxa"/>
            <w:vAlign w:val="center"/>
          </w:tcPr>
          <w:p w14:paraId="608F6B08">
            <w:pPr>
              <w:spacing w:line="240" w:lineRule="auto"/>
              <w:ind w:firstLine="0"/>
              <w:jc w:val="center"/>
              <w:rPr>
                <w:sz w:val="21"/>
                <w:szCs w:val="21"/>
              </w:rPr>
            </w:pPr>
            <w:r>
              <w:rPr>
                <w:rFonts w:hint="eastAsia"/>
                <w:sz w:val="21"/>
                <w:szCs w:val="21"/>
              </w:rPr>
              <w:t>响应时间</w:t>
            </w:r>
          </w:p>
        </w:tc>
        <w:tc>
          <w:tcPr>
            <w:tcW w:w="5614" w:type="dxa"/>
            <w:vAlign w:val="center"/>
          </w:tcPr>
          <w:p w14:paraId="08B1CED9">
            <w:pPr>
              <w:spacing w:line="240" w:lineRule="auto"/>
              <w:jc w:val="center"/>
              <w:rPr>
                <w:rFonts w:hint="eastAsia" w:eastAsia="SimSun"/>
                <w:sz w:val="21"/>
                <w:szCs w:val="21"/>
                <w:lang w:val="en-US" w:eastAsia="zh-CN"/>
              </w:rPr>
            </w:pPr>
            <w:r>
              <w:rPr>
                <w:rFonts w:hint="eastAsia"/>
                <w:sz w:val="21"/>
                <w:szCs w:val="21"/>
                <w:lang w:val="en-US" w:eastAsia="zh-CN"/>
              </w:rPr>
              <w:t>≤</w:t>
            </w:r>
            <w:r>
              <w:rPr>
                <w:rFonts w:hint="eastAsia"/>
                <w:sz w:val="21"/>
                <w:szCs w:val="21"/>
              </w:rPr>
              <w:t>10</w:t>
            </w:r>
            <w:r>
              <w:rPr>
                <w:rFonts w:hint="eastAsia"/>
                <w:sz w:val="21"/>
                <w:szCs w:val="21"/>
                <w:lang w:val="en-US" w:eastAsia="zh-CN"/>
              </w:rPr>
              <w:t>s</w:t>
            </w:r>
          </w:p>
        </w:tc>
      </w:tr>
      <w:tr w14:paraId="4B26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24894CFF">
            <w:pPr>
              <w:spacing w:line="240" w:lineRule="auto"/>
              <w:ind w:firstLine="0"/>
              <w:jc w:val="center"/>
              <w:rPr>
                <w:rFonts w:hint="default" w:eastAsia="SimSun"/>
                <w:sz w:val="21"/>
                <w:szCs w:val="21"/>
                <w:lang w:val="en-US" w:eastAsia="zh-CN"/>
              </w:rPr>
            </w:pPr>
            <w:r>
              <w:rPr>
                <w:rFonts w:hint="eastAsia"/>
                <w:sz w:val="21"/>
                <w:szCs w:val="21"/>
                <w:lang w:val="en-US" w:eastAsia="zh-CN"/>
              </w:rPr>
              <w:t>8</w:t>
            </w:r>
          </w:p>
        </w:tc>
        <w:tc>
          <w:tcPr>
            <w:tcW w:w="1813" w:type="dxa"/>
            <w:vAlign w:val="center"/>
          </w:tcPr>
          <w:p w14:paraId="16DAC9AD">
            <w:pPr>
              <w:spacing w:line="240" w:lineRule="auto"/>
              <w:ind w:firstLine="0"/>
              <w:jc w:val="center"/>
              <w:rPr>
                <w:sz w:val="21"/>
                <w:szCs w:val="21"/>
              </w:rPr>
            </w:pPr>
            <w:r>
              <w:rPr>
                <w:rFonts w:hint="eastAsia"/>
                <w:sz w:val="21"/>
                <w:szCs w:val="21"/>
              </w:rPr>
              <w:t>噪声</w:t>
            </w:r>
          </w:p>
        </w:tc>
        <w:tc>
          <w:tcPr>
            <w:tcW w:w="5614" w:type="dxa"/>
            <w:vAlign w:val="center"/>
          </w:tcPr>
          <w:p w14:paraId="5851C898">
            <w:pPr>
              <w:spacing w:line="240" w:lineRule="auto"/>
              <w:jc w:val="center"/>
              <w:rPr>
                <w:sz w:val="21"/>
                <w:szCs w:val="21"/>
              </w:rPr>
            </w:pPr>
            <w:r>
              <w:rPr>
                <w:rFonts w:hint="eastAsia"/>
                <w:sz w:val="21"/>
                <w:szCs w:val="21"/>
              </w:rPr>
              <w:t>0.5Hz及其以上，</w:t>
            </w:r>
            <w:r>
              <w:rPr>
                <w:rFonts w:hint="eastAsia"/>
                <w:sz w:val="21"/>
                <w:szCs w:val="21"/>
                <w:lang w:val="en-US" w:eastAsia="zh-CN"/>
              </w:rPr>
              <w:t>优</w:t>
            </w:r>
            <w:r>
              <w:rPr>
                <w:rFonts w:hint="eastAsia"/>
                <w:sz w:val="21"/>
                <w:szCs w:val="21"/>
              </w:rPr>
              <w:t>于所</w:t>
            </w:r>
            <w:r>
              <w:rPr>
                <w:rFonts w:hint="eastAsia"/>
                <w:sz w:val="21"/>
                <w:szCs w:val="21"/>
                <w:lang w:val="en-US" w:eastAsia="zh-CN"/>
              </w:rPr>
              <w:t>选量程</w:t>
            </w:r>
            <w:r>
              <w:rPr>
                <w:rFonts w:hint="eastAsia"/>
                <w:sz w:val="21"/>
                <w:szCs w:val="21"/>
              </w:rPr>
              <w:t>的±1%或±0.5</w:t>
            </w:r>
            <w:r>
              <w:t>μmol/mol</w:t>
            </w:r>
            <w:r>
              <w:rPr>
                <w:rFonts w:hint="eastAsia"/>
                <w:sz w:val="21"/>
                <w:szCs w:val="21"/>
              </w:rPr>
              <w:t>，</w:t>
            </w:r>
            <w:r>
              <w:rPr>
                <w:rFonts w:hint="eastAsia"/>
                <w:sz w:val="21"/>
                <w:szCs w:val="21"/>
                <w:lang w:val="en-US" w:eastAsia="zh-CN"/>
              </w:rPr>
              <w:t>满足其一即可</w:t>
            </w:r>
            <w:r>
              <w:rPr>
                <w:rFonts w:hint="eastAsia"/>
                <w:sz w:val="21"/>
                <w:szCs w:val="21"/>
              </w:rPr>
              <w:t>。</w:t>
            </w:r>
          </w:p>
        </w:tc>
      </w:tr>
      <w:tr w14:paraId="4184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32ED6686">
            <w:pPr>
              <w:spacing w:line="240" w:lineRule="auto"/>
              <w:ind w:firstLine="0"/>
              <w:jc w:val="center"/>
              <w:rPr>
                <w:rFonts w:hint="default" w:eastAsia="SimSun"/>
                <w:sz w:val="21"/>
                <w:szCs w:val="21"/>
                <w:lang w:val="en-US" w:eastAsia="zh-CN"/>
              </w:rPr>
            </w:pPr>
            <w:r>
              <w:rPr>
                <w:rFonts w:hint="eastAsia"/>
                <w:sz w:val="21"/>
                <w:szCs w:val="21"/>
                <w:lang w:val="en-US" w:eastAsia="zh-CN"/>
              </w:rPr>
              <w:t>9</w:t>
            </w:r>
          </w:p>
        </w:tc>
        <w:tc>
          <w:tcPr>
            <w:tcW w:w="1813" w:type="dxa"/>
            <w:vAlign w:val="center"/>
          </w:tcPr>
          <w:p w14:paraId="3A12FB7E">
            <w:pPr>
              <w:spacing w:line="240" w:lineRule="auto"/>
              <w:ind w:firstLine="0"/>
              <w:jc w:val="center"/>
              <w:rPr>
                <w:sz w:val="21"/>
                <w:szCs w:val="21"/>
              </w:rPr>
            </w:pPr>
            <w:r>
              <w:rPr>
                <w:rFonts w:hint="eastAsia"/>
                <w:sz w:val="21"/>
                <w:szCs w:val="21"/>
              </w:rPr>
              <w:t>协同效应(氧气)</w:t>
            </w:r>
          </w:p>
        </w:tc>
        <w:tc>
          <w:tcPr>
            <w:tcW w:w="5614" w:type="dxa"/>
            <w:vAlign w:val="center"/>
          </w:tcPr>
          <w:p w14:paraId="1C5F3C3A">
            <w:pPr>
              <w:spacing w:line="240" w:lineRule="auto"/>
              <w:jc w:val="center"/>
              <w:rPr>
                <w:sz w:val="21"/>
                <w:szCs w:val="21"/>
              </w:rPr>
            </w:pPr>
            <w:r>
              <w:rPr>
                <w:rFonts w:hint="eastAsia"/>
                <w:sz w:val="21"/>
                <w:szCs w:val="21"/>
                <w:lang w:val="en-US" w:eastAsia="zh-CN"/>
              </w:rPr>
              <w:t>≤</w:t>
            </w:r>
            <w:r>
              <w:rPr>
                <w:rFonts w:hint="eastAsia"/>
                <w:sz w:val="21"/>
                <w:szCs w:val="21"/>
              </w:rPr>
              <w:t>3%</w:t>
            </w:r>
          </w:p>
        </w:tc>
      </w:tr>
      <w:tr w14:paraId="57CB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7B053312">
            <w:pPr>
              <w:spacing w:line="240" w:lineRule="auto"/>
              <w:ind w:firstLine="0"/>
              <w:jc w:val="center"/>
              <w:rPr>
                <w:rFonts w:hint="default" w:eastAsia="SimSun"/>
                <w:sz w:val="21"/>
                <w:szCs w:val="21"/>
                <w:lang w:val="en-US" w:eastAsia="zh-CN"/>
              </w:rPr>
            </w:pPr>
            <w:r>
              <w:rPr>
                <w:rFonts w:hint="eastAsia"/>
                <w:sz w:val="21"/>
                <w:szCs w:val="21"/>
                <w:lang w:val="en-US" w:eastAsia="zh-CN"/>
              </w:rPr>
              <w:t>10</w:t>
            </w:r>
          </w:p>
        </w:tc>
        <w:tc>
          <w:tcPr>
            <w:tcW w:w="1813" w:type="dxa"/>
            <w:vAlign w:val="center"/>
          </w:tcPr>
          <w:p w14:paraId="11922A26">
            <w:pPr>
              <w:spacing w:line="240" w:lineRule="auto"/>
              <w:ind w:firstLine="0"/>
              <w:jc w:val="center"/>
              <w:rPr>
                <w:sz w:val="21"/>
                <w:szCs w:val="21"/>
              </w:rPr>
            </w:pPr>
            <w:r>
              <w:rPr>
                <w:rFonts w:hint="eastAsia"/>
                <w:sz w:val="21"/>
                <w:szCs w:val="21"/>
              </w:rPr>
              <w:t>协同效应(碳氢化合物)</w:t>
            </w:r>
          </w:p>
        </w:tc>
        <w:tc>
          <w:tcPr>
            <w:tcW w:w="5614" w:type="dxa"/>
            <w:vAlign w:val="center"/>
          </w:tcPr>
          <w:p w14:paraId="541F37D3">
            <w:pPr>
              <w:spacing w:line="240" w:lineRule="auto"/>
              <w:jc w:val="center"/>
              <w:rPr>
                <w:sz w:val="21"/>
                <w:szCs w:val="21"/>
              </w:rPr>
            </w:pPr>
            <w:r>
              <w:rPr>
                <w:rFonts w:hint="eastAsia"/>
                <w:sz w:val="21"/>
                <w:szCs w:val="21"/>
                <w:lang w:val="en-US" w:eastAsia="zh-CN"/>
              </w:rPr>
              <w:t>≤</w:t>
            </w:r>
            <w:r>
              <w:rPr>
                <w:rFonts w:hint="eastAsia"/>
                <w:sz w:val="21"/>
                <w:szCs w:val="21"/>
              </w:rPr>
              <w:t>5%</w:t>
            </w:r>
          </w:p>
        </w:tc>
      </w:tr>
      <w:tr w14:paraId="4B61A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3" w:type="dxa"/>
            <w:gridSpan w:val="3"/>
            <w:vAlign w:val="center"/>
          </w:tcPr>
          <w:p w14:paraId="772B9D48">
            <w:pPr>
              <w:spacing w:line="240" w:lineRule="auto"/>
              <w:jc w:val="left"/>
              <w:rPr>
                <w:rFonts w:hint="eastAsia"/>
                <w:sz w:val="21"/>
                <w:szCs w:val="21"/>
                <w:lang w:val="en-US" w:eastAsia="zh-CN"/>
              </w:rPr>
            </w:pPr>
            <w:r>
              <w:rPr>
                <w:rFonts w:hint="eastAsia"/>
                <w:sz w:val="21"/>
                <w:szCs w:val="21"/>
                <w:lang w:val="en-US" w:eastAsia="zh-CN"/>
              </w:rPr>
              <w:t>注:</w:t>
            </w:r>
          </w:p>
          <w:p w14:paraId="4D34E01F">
            <w:pPr>
              <w:numPr>
                <w:ilvl w:val="0"/>
                <w:numId w:val="4"/>
              </w:numPr>
              <w:spacing w:line="240" w:lineRule="auto"/>
              <w:jc w:val="left"/>
              <w:rPr>
                <w:rFonts w:hint="eastAsia"/>
                <w:sz w:val="21"/>
                <w:szCs w:val="21"/>
                <w:lang w:val="en-US" w:eastAsia="zh-CN"/>
              </w:rPr>
            </w:pPr>
            <w:r>
              <w:rPr>
                <w:rFonts w:hint="eastAsia"/>
                <w:sz w:val="21"/>
                <w:szCs w:val="21"/>
                <w:lang w:val="en-US" w:eastAsia="zh-CN"/>
              </w:rPr>
              <w:t>上述计量特性各项指标不用于合格性判断，仅供参考。</w:t>
            </w:r>
          </w:p>
          <w:p w14:paraId="08B363B6">
            <w:pPr>
              <w:numPr>
                <w:ilvl w:val="0"/>
                <w:numId w:val="4"/>
              </w:numPr>
              <w:spacing w:line="240" w:lineRule="auto"/>
              <w:jc w:val="left"/>
              <w:rPr>
                <w:rFonts w:hint="default" w:eastAsia="SimSun"/>
                <w:sz w:val="21"/>
                <w:szCs w:val="21"/>
                <w:lang w:val="en-US" w:eastAsia="zh-CN"/>
              </w:rPr>
            </w:pPr>
            <w:r>
              <w:rPr>
                <w:rFonts w:hint="eastAsia"/>
                <w:sz w:val="21"/>
                <w:szCs w:val="21"/>
                <w:lang w:val="en-US" w:eastAsia="zh-CN"/>
              </w:rPr>
              <w:t>当测量系统使用浓度单位时，考核示值引用误差指标，当测量系统使用非浓度单位时，考核线性度指标。</w:t>
            </w:r>
          </w:p>
          <w:p w14:paraId="3355E04D">
            <w:pPr>
              <w:numPr>
                <w:ilvl w:val="0"/>
                <w:numId w:val="4"/>
              </w:numPr>
              <w:spacing w:line="240" w:lineRule="auto"/>
              <w:jc w:val="left"/>
              <w:rPr>
                <w:rFonts w:hint="default" w:eastAsia="SimSun"/>
                <w:sz w:val="21"/>
                <w:szCs w:val="21"/>
                <w:lang w:val="en-US" w:eastAsia="zh-CN"/>
              </w:rPr>
            </w:pPr>
            <w:r>
              <w:rPr>
                <w:rFonts w:hint="eastAsia"/>
                <w:sz w:val="21"/>
                <w:szCs w:val="21"/>
                <w:lang w:val="en-US" w:eastAsia="zh-CN"/>
              </w:rPr>
              <w:t>用户使用多量程仪器，应按照要求对所使用的的每一量程进行校准。</w:t>
            </w:r>
          </w:p>
        </w:tc>
      </w:tr>
    </w:tbl>
    <w:p w14:paraId="7B3D816F">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仪器线性的计量性能要求主要是根据欧美等先进国家的类似在线校准的一贯做法，特别是美国EPA施行环境监测性能审核项目（The national performance audit program,NPAP），国际民用航空公约 附件16《环境保护》第II卷 — 《航空器发动机的排放物》明确提出了现场比对，最小二乘法拟合的办法来确定仪器的性能指标。</w:t>
      </w:r>
    </w:p>
    <w:p w14:paraId="0BAA3911">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示值误差参考实验数据及线性度指标制定。由于航空发动机气态排放物测量系统，通过气态分析仪子系统、辅助气子系统、控制和数据采集子系统将输出值转化成气体浓度，所以我们参考线性度指标确定示值引用误差指标。</w:t>
      </w:r>
    </w:p>
    <w:p w14:paraId="7F3454DF">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b/>
          <w:bCs/>
          <w:color w:val="auto"/>
          <w:spacing w:val="2"/>
          <w:kern w:val="0"/>
          <w:sz w:val="24"/>
          <w:szCs w:val="21"/>
          <w:lang w:val="en-US" w:eastAsia="zh-CN" w:bidi="ar-SA"/>
        </w:rPr>
      </w:pPr>
      <w:r>
        <w:rPr>
          <w:rFonts w:hint="eastAsia" w:ascii="Times New Roman" w:hAnsi="Times New Roman" w:eastAsia="SimSun" w:cs="Times New Roman"/>
          <w:b/>
          <w:bCs/>
          <w:color w:val="auto"/>
          <w:spacing w:val="2"/>
          <w:kern w:val="0"/>
          <w:sz w:val="24"/>
          <w:szCs w:val="21"/>
          <w:lang w:val="en-US" w:eastAsia="zh-CN" w:bidi="ar-SA"/>
        </w:rPr>
        <w:t>6校准条件</w:t>
      </w:r>
    </w:p>
    <w:p w14:paraId="1DD8C0DC">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bookmarkStart w:id="20" w:name="_Toc145935216"/>
      <w:bookmarkStart w:id="21" w:name="_Toc26992"/>
      <w:bookmarkStart w:id="22" w:name="_Toc145935470"/>
      <w:r>
        <w:rPr>
          <w:rFonts w:hint="eastAsia" w:ascii="Times New Roman" w:hAnsi="Times New Roman" w:eastAsia="SimSun" w:cs="Times New Roman"/>
          <w:color w:val="auto"/>
          <w:spacing w:val="2"/>
          <w:kern w:val="0"/>
          <w:sz w:val="24"/>
          <w:szCs w:val="21"/>
          <w:lang w:val="en-US" w:eastAsia="zh-CN" w:bidi="ar-SA"/>
        </w:rPr>
        <w:t>6.1环境条件</w:t>
      </w:r>
      <w:bookmarkEnd w:id="20"/>
      <w:bookmarkEnd w:id="21"/>
      <w:bookmarkEnd w:id="22"/>
    </w:p>
    <w:p w14:paraId="6ABFB680">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主要参考JJG 693—2011《可燃气体检测报警器检定规程》、JJF 1585—2016《固定污染源烟气排放连续监测系统校准规范》、JJF 1907—2021《环境空气在线监测气体分析仪校准规范》等标准对环境条件、气体标准物质、校准用设备进行了明确。计量标准器主要是根据现有的标准气体溯源能力参考ICAO国际民用航空公约附件16《环境保护》第II卷 — 《航空器发动机的排放物》附录3附录D校准和测试气体，明确了校准用气体、测试用气体和零点气体的种类和精度要求。</w:t>
      </w:r>
      <w:bookmarkStart w:id="23" w:name="_Toc26193"/>
      <w:r>
        <w:rPr>
          <w:rFonts w:hint="eastAsia" w:ascii="Times New Roman" w:hAnsi="Times New Roman" w:eastAsia="SimSun" w:cs="Times New Roman"/>
          <w:color w:val="auto"/>
          <w:spacing w:val="2"/>
          <w:kern w:val="0"/>
          <w:sz w:val="24"/>
          <w:szCs w:val="21"/>
          <w:lang w:val="en-US" w:eastAsia="zh-CN" w:bidi="ar-SA"/>
        </w:rPr>
        <w:t>同时，通过对航空发动机气态排放物测试系统实际工况考察得出上述工况测量范围。</w:t>
      </w:r>
    </w:p>
    <w:p w14:paraId="778DB7CA">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7  校准项目和校准方法</w:t>
      </w:r>
      <w:bookmarkEnd w:id="23"/>
      <w:bookmarkStart w:id="24" w:name="_Toc73354760"/>
      <w:bookmarkStart w:id="25" w:name="_Toc16969"/>
    </w:p>
    <w:bookmarkEnd w:id="24"/>
    <w:bookmarkEnd w:id="25"/>
    <w:p w14:paraId="30277CC3">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根据ICAO国际民用航空公约附件16《环境保护》第II卷 — 《航空器发动机的排放物》附录3 中仪器规格的要求，明确了校准项目。</w:t>
      </w:r>
      <w:bookmarkStart w:id="26" w:name="_Toc9284"/>
    </w:p>
    <w:p w14:paraId="1B10F1DC">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7.1外观及功能检查与其它计量规程和规范校准一致。</w:t>
      </w:r>
    </w:p>
    <w:p w14:paraId="72CE46AA">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7.2 分辨力与其它计量规程和规范校准一致。</w:t>
      </w:r>
    </w:p>
    <w:p w14:paraId="7DE4B5CC">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7.3 校准前的准备</w:t>
      </w:r>
    </w:p>
    <w:p w14:paraId="4D95049A">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按照图2开展进行设备连接，接通电源，按照仪器使用说明书规定的时间进行预热，若无规定，至少预热两小时。预热稳定后，按仪器使用说明书调整仪器的零点和示值，若说明书中没有明确要求，则通入零气体，待示值稳定后，仪器示值调到与零点一致。通入量程90%左右的气体浓度的标准气体，待示值稳定后，将仪器示值调到与标准值一致。</w:t>
      </w:r>
    </w:p>
    <w:p w14:paraId="570528E3">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lang w:val="en-US" w:eastAsia="zh-CN" w:bidi="ar-SA"/>
        </w:rPr>
      </w:pPr>
    </w:p>
    <w:p w14:paraId="481EFBE7">
      <w:pPr>
        <w:spacing w:line="300" w:lineRule="auto"/>
        <w:rPr>
          <w:sz w:val="21"/>
          <w:szCs w:val="21"/>
        </w:rPr>
      </w:pPr>
      <w:r>
        <w:rPr>
          <w:sz w:val="21"/>
          <w:szCs w:val="21"/>
        </w:rPr>
        <mc:AlternateContent>
          <mc:Choice Requires="wps">
            <w:drawing>
              <wp:anchor distT="0" distB="0" distL="114300" distR="114300" simplePos="0" relativeHeight="251661312" behindDoc="0" locked="0" layoutInCell="1" allowOverlap="1">
                <wp:simplePos x="0" y="0"/>
                <wp:positionH relativeFrom="column">
                  <wp:posOffset>3253740</wp:posOffset>
                </wp:positionH>
                <wp:positionV relativeFrom="paragraph">
                  <wp:posOffset>49530</wp:posOffset>
                </wp:positionV>
                <wp:extent cx="1748790" cy="254000"/>
                <wp:effectExtent l="9525" t="9525" r="9525" b="10795"/>
                <wp:wrapNone/>
                <wp:docPr id="2" name="文本框 2"/>
                <wp:cNvGraphicFramePr/>
                <a:graphic xmlns:a="http://schemas.openxmlformats.org/drawingml/2006/main">
                  <a:graphicData uri="http://schemas.microsoft.com/office/word/2010/wordprocessingShape">
                    <wps:wsp>
                      <wps:cNvSpPr txBox="1"/>
                      <wps:spPr>
                        <a:xfrm>
                          <a:off x="0" y="0"/>
                          <a:ext cx="1748790" cy="254000"/>
                        </a:xfrm>
                        <a:prstGeom prst="rect">
                          <a:avLst/>
                        </a:prstGeom>
                        <a:noFill/>
                        <a:ln w="19050" cap="flat" cmpd="sng">
                          <a:solidFill>
                            <a:srgbClr val="000000"/>
                          </a:solidFill>
                          <a:prstDash val="solid"/>
                          <a:miter/>
                          <a:headEnd type="none" w="med" len="med"/>
                          <a:tailEnd type="none" w="med" len="med"/>
                        </a:ln>
                      </wps:spPr>
                      <wps:txbx>
                        <w:txbxContent>
                          <w:p w14:paraId="6D84F3BE">
                            <w:pPr>
                              <w:spacing w:line="0" w:lineRule="atLeast"/>
                              <w:rPr>
                                <w:rFonts w:hint="eastAsia"/>
                                <w:sz w:val="21"/>
                                <w:szCs w:val="21"/>
                                <w:lang w:val="en-US" w:eastAsia="zh-CN"/>
                              </w:rPr>
                            </w:pPr>
                            <w:r>
                              <w:rPr>
                                <w:rFonts w:hint="eastAsia"/>
                                <w:sz w:val="21"/>
                                <w:szCs w:val="21"/>
                                <w:lang w:val="en-US" w:eastAsia="zh-CN"/>
                              </w:rPr>
                              <w:t>控制和数据采集子系统</w:t>
                            </w:r>
                          </w:p>
                        </w:txbxContent>
                      </wps:txbx>
                      <wps:bodyPr upright="1"/>
                    </wps:wsp>
                  </a:graphicData>
                </a:graphic>
              </wp:anchor>
            </w:drawing>
          </mc:Choice>
          <mc:Fallback>
            <w:pict>
              <v:shape id="_x0000_s1026" o:spid="_x0000_s1026" o:spt="202" type="#_x0000_t202" style="position:absolute;left:0pt;margin-left:256.2pt;margin-top:3.9pt;height:20pt;width:137.7pt;z-index:251661312;mso-width-relative:page;mso-height-relative:page;" filled="f" stroked="t" coordsize="21600,21600" o:gfxdata="UEsDBAoAAAAAAIdO4kAAAAAAAAAAAAAAAAAEAAAAZHJzL1BLAwQUAAAACACHTuJAiqoSydkAAAAI&#10;AQAADwAAAGRycy9kb3ducmV2LnhtbE2PzU7DMBCE70i8g7VI3KiTqtA2xOkB0QsqB9Ii0ZsbL3Eg&#10;Xqe2+8Pbsz3BaXc1o9lvysXZ9eKIIXaeFOSjDARS401HrYLNenk3AxGTJqN7T6jgByMsquurUhfG&#10;n+gNj3VqBYdQLLQCm9JQSBkbi07HkR+QWPv0wenEZ2ilCfrE4a6X4yx7kE53xB+sHvDJYvNdH5yC&#10;ZXiuu01uw36+evnY7t/Xr8PqS6nbmzx7BJHwnP7McMFndKiYaecPZKLoFdzn4wlbFUy5AevT2WXZ&#10;KZjwlFUp/xeofgFQSwMEFAAAAAgAh07iQFmMf94GAgAADgQAAA4AAABkcnMvZTJvRG9jLnhtbK1T&#10;zW4TMRC+I/EOlu9kt1FL2yibShDKBQFS4QEce3bXkv/kcbKbF4A34MSFO8/V5+jYm6ZQLjmwB+/Y&#10;M/5mvm/Gy5vRGraDiNq7hp/Nas7ASa+06xr+9cvtqyvOMAmnhPEOGr4H5Derly+WQ1jA3PfeKIiM&#10;QBwuhtDwPqWwqCqUPViBMx/AkbP10YpE29hVKoqB0K2p5nX9uhp8VCF6CYh0up6c/IAYTwH0basl&#10;rL3cWnBpQo1gRCJK2OuAfFWqbVuQ6VPbIiRmGk5MU1kpCdmbvFarpVh0UYRey0MJ4pQSnnGyQjtK&#10;eoRaiyTYNup/oKyW0aNv00x6W01EiiLE4qx+ps1dLwIULiQ1hqPo+P9g5cfd58i0avicMycsNfz+&#10;x/f7n7/vf31j8yzPEHBBUXeB4tL4xo80NI/nSIeZ9dhGm//Eh5GfxN0fxYUxMZkvXZ5fXV6TS5Jv&#10;fnFe10X96ul2iJjeg7csGw2P1Lyiqdh9wESVUOhjSE7m/K02pjTQODZQhuv6IuMLmsqWpoFMG4gZ&#10;uq7goDda5Tv5NsZu89ZEthN5MsqXWVGOv8JywrXAfoorrmlmrE4QS/IehHrnFEv7QOo5ejQ8V2NB&#10;cWaA3li2SmQS2pwSSUUYR7Vk6SeJs5XGzUgw2dx4tad2bEPUXU9SlYaUcBqTQuIw0nkO/9wX0Kdn&#10;vHo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qoSydkAAAAIAQAADwAAAAAAAAABACAAAAAiAAAA&#10;ZHJzL2Rvd25yZXYueG1sUEsBAhQAFAAAAAgAh07iQFmMf94GAgAADgQAAA4AAAAAAAAAAQAgAAAA&#10;KAEAAGRycy9lMm9Eb2MueG1sUEsFBgAAAAAGAAYAWQEAAKAFAAAAAA==&#10;">
                <v:fill on="f" focussize="0,0"/>
                <v:stroke weight="1.5pt" color="#000000" joinstyle="miter"/>
                <v:imagedata o:title=""/>
                <o:lock v:ext="edit" aspectratio="f"/>
                <v:textbox>
                  <w:txbxContent>
                    <w:p w14:paraId="6D84F3BE">
                      <w:pPr>
                        <w:spacing w:line="0" w:lineRule="atLeast"/>
                        <w:rPr>
                          <w:rFonts w:hint="eastAsia"/>
                          <w:sz w:val="21"/>
                          <w:szCs w:val="21"/>
                          <w:lang w:val="en-US" w:eastAsia="zh-CN"/>
                        </w:rPr>
                      </w:pPr>
                      <w:r>
                        <w:rPr>
                          <w:rFonts w:hint="eastAsia"/>
                          <w:sz w:val="21"/>
                          <w:szCs w:val="21"/>
                          <w:lang w:val="en-US" w:eastAsia="zh-CN"/>
                        </w:rPr>
                        <w:t>控制和数据采集子系统</w:t>
                      </w:r>
                    </w:p>
                  </w:txbxContent>
                </v:textbox>
              </v:shape>
            </w:pict>
          </mc:Fallback>
        </mc:AlternateContent>
      </w:r>
      <w:r>
        <w:rPr>
          <w:rFonts w:hAnsi="FangSong" w:eastAsia="FangSong"/>
          <w:sz w:val="21"/>
          <w:szCs w:val="21"/>
        </w:rPr>
        <mc:AlternateContent>
          <mc:Choice Requires="wps">
            <w:drawing>
              <wp:anchor distT="0" distB="0" distL="114300" distR="114300" simplePos="0" relativeHeight="251665408" behindDoc="0" locked="0" layoutInCell="1" allowOverlap="1">
                <wp:simplePos x="0" y="0"/>
                <wp:positionH relativeFrom="column">
                  <wp:posOffset>2883535</wp:posOffset>
                </wp:positionH>
                <wp:positionV relativeFrom="paragraph">
                  <wp:posOffset>173990</wp:posOffset>
                </wp:positionV>
                <wp:extent cx="363220" cy="0"/>
                <wp:effectExtent l="0" t="38100" r="2540" b="38100"/>
                <wp:wrapNone/>
                <wp:docPr id="3" name="直接箭头连接符 3"/>
                <wp:cNvGraphicFramePr/>
                <a:graphic xmlns:a="http://schemas.openxmlformats.org/drawingml/2006/main">
                  <a:graphicData uri="http://schemas.microsoft.com/office/word/2010/wordprocessingShape">
                    <wps:wsp>
                      <wps:cNvCnPr/>
                      <wps:spPr>
                        <a:xfrm>
                          <a:off x="0" y="0"/>
                          <a:ext cx="36322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27.05pt;margin-top:13.7pt;height:0pt;width:28.6pt;z-index:251665408;mso-width-relative:page;mso-height-relative:page;" filled="f" stroked="t" coordsize="21600,21600" o:gfxdata="UEsDBAoAAAAAAIdO4kAAAAAAAAAAAAAAAAAEAAAAZHJzL1BLAwQUAAAACACHTuJA0gkALtkAAAAJ&#10;AQAADwAAAGRycy9kb3ducmV2LnhtbE2Py07DMBBF95X4B2uQ2LWOSxogxKkEFSIbkGgRYunGQ2wR&#10;j6PYffH1GLGA5cwc3Tm3Wh5dz/Y4ButJgphlwJBary11El43D9NrYCEq0qr3hBJOGGBZn00qVWp/&#10;oBfcr2PHUgiFUkkwMQ4l56E16FSY+QEp3T786FRM49hxPapDCnc9n2dZwZ2ylD4YNeC9wfZzvXMS&#10;4ur9ZIq39u7GPm8enwr71TTNSsqLc5HdAot4jH8w/OgndaiT09bvSAfWS8gXuUiohPlVDiwBCyEu&#10;gW1/F7yu+P8G9TdQSwMEFAAAAAgAh07iQDuJPwsDAgAA7wMAAA4AAABkcnMvZTJvRG9jLnhtbK1T&#10;S44TMRDdI3EHy3vS+WhG0EpnFgnDBkEk4AAVt7vbkn9yedLJJbgAEitgBaxmz2lgOAZldyaBQUiz&#10;oBfusqvqVb3n8vxiZzTbyoDK2YpPRmPOpBWuVrat+JvXl48ec4YRbA3aWVnxvUR+sXj4YN77Uk5d&#10;53QtAyMQi2XvK97F6MuiQNFJAzhyXlpyNi4YiLQNbVEH6And6GI6Hp8XvQu1D05IRDpdDU5+QAz3&#10;AXRNo4RcOXFlpI0DapAaIlHCTnnki9xt00gRXzYNysh0xYlpzCsVIXuT1mIxh7IN4DslDi3AfVq4&#10;w8mAslT0CLWCCOwqqL+gjBLBoWviSDhTDESyIsRiMr6jzasOvMxcSGr0R9Hx/8GKF9t1YKqu+Iwz&#10;C4Yu/Obd9Y+3H2++fvn+4frnt/fJ/vyJzZJUvceSMpZ2HQ479OuQeO+aYNKfGLFdlnd/lFfuIhN0&#10;ODufTackvLh1Fac8HzA+k86wZFQcYwDVdnHprKU7dGGS1YXtc4xUmRJvE1JRbVlf8Sdn0zMCB5rJ&#10;hmaBTOOJF9o256LTqr5UWqcMDO1mqQPbQpqL/CV+hPtHWCqyAuyGuOwaJqaTUD+1NYt7T4pZeig8&#10;tWBkzZmW9K6SRYBQRlD6FBmDAtvqf0RTeW2piyTzIGyyNq7eZ73zOc1B7vMws2nQft/n7NM7Xf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0gkALtkAAAAJAQAADwAAAAAAAAABACAAAAAiAAAAZHJz&#10;L2Rvd25yZXYueG1sUEsBAhQAFAAAAAgAh07iQDuJPwsDAgAA7wMAAA4AAAAAAAAAAQAgAAAAKAEA&#10;AGRycy9lMm9Eb2MueG1sUEsFBgAAAAAGAAYAWQEAAJ0FAAAAAA==&#10;">
                <v:fill on="f" focussize="0,0"/>
                <v:stroke color="#000000" joinstyle="round" endarrow="block"/>
                <v:imagedata o:title=""/>
                <o:lock v:ext="edit" aspectratio="f"/>
              </v:shape>
            </w:pict>
          </mc:Fallback>
        </mc:AlternateContent>
      </w:r>
      <w:r>
        <w:rPr>
          <w:sz w:val="21"/>
          <w:szCs w:val="21"/>
        </w:rPr>
        <mc:AlternateContent>
          <mc:Choice Requires="wps">
            <w:drawing>
              <wp:anchor distT="0" distB="0" distL="114300" distR="114300" simplePos="0" relativeHeight="251660288" behindDoc="0" locked="0" layoutInCell="1" allowOverlap="1">
                <wp:simplePos x="0" y="0"/>
                <wp:positionH relativeFrom="column">
                  <wp:posOffset>1826260</wp:posOffset>
                </wp:positionH>
                <wp:positionV relativeFrom="paragraph">
                  <wp:posOffset>49530</wp:posOffset>
                </wp:positionV>
                <wp:extent cx="1073150" cy="254000"/>
                <wp:effectExtent l="9525" t="9525" r="14605" b="10795"/>
                <wp:wrapNone/>
                <wp:docPr id="11" name="文本框 11"/>
                <wp:cNvGraphicFramePr/>
                <a:graphic xmlns:a="http://schemas.openxmlformats.org/drawingml/2006/main">
                  <a:graphicData uri="http://schemas.microsoft.com/office/word/2010/wordprocessingShape">
                    <wps:wsp>
                      <wps:cNvSpPr txBox="1"/>
                      <wps:spPr>
                        <a:xfrm>
                          <a:off x="0" y="0"/>
                          <a:ext cx="1073150" cy="254000"/>
                        </a:xfrm>
                        <a:prstGeom prst="rect">
                          <a:avLst/>
                        </a:prstGeom>
                        <a:noFill/>
                        <a:ln w="19050" cap="flat" cmpd="sng">
                          <a:solidFill>
                            <a:srgbClr val="000000"/>
                          </a:solidFill>
                          <a:prstDash val="solid"/>
                          <a:miter/>
                          <a:headEnd type="none" w="med" len="med"/>
                          <a:tailEnd type="none" w="med" len="med"/>
                        </a:ln>
                      </wps:spPr>
                      <wps:txbx>
                        <w:txbxContent>
                          <w:p w14:paraId="5EAE9301">
                            <w:pPr>
                              <w:spacing w:line="0" w:lineRule="atLeast"/>
                              <w:jc w:val="center"/>
                              <w:rPr>
                                <w:rFonts w:hint="default"/>
                                <w:sz w:val="21"/>
                                <w:szCs w:val="21"/>
                                <w:lang w:val="en-US"/>
                              </w:rPr>
                            </w:pPr>
                            <w:r>
                              <w:rPr>
                                <w:rFonts w:hint="eastAsia"/>
                                <w:sz w:val="21"/>
                                <w:szCs w:val="21"/>
                                <w:lang w:val="en-US" w:eastAsia="zh-CN"/>
                              </w:rPr>
                              <w:t>分析仪子系统</w:t>
                            </w:r>
                          </w:p>
                        </w:txbxContent>
                      </wps:txbx>
                      <wps:bodyPr upright="1"/>
                    </wps:wsp>
                  </a:graphicData>
                </a:graphic>
              </wp:anchor>
            </w:drawing>
          </mc:Choice>
          <mc:Fallback>
            <w:pict>
              <v:shape id="_x0000_s1026" o:spid="_x0000_s1026" o:spt="202" type="#_x0000_t202" style="position:absolute;left:0pt;margin-left:143.8pt;margin-top:3.9pt;height:20pt;width:84.5pt;z-index:251660288;mso-width-relative:page;mso-height-relative:page;" filled="f" stroked="t" coordsize="21600,21600" o:gfxdata="UEsDBAoAAAAAAIdO4kAAAAAAAAAAAAAAAAAEAAAAZHJzL1BLAwQUAAAACACHTuJA2g66f9YAAAAI&#10;AQAADwAAAGRycy9kb3ducmV2LnhtbE1Py07DMBC8I/EP1iJxo04qSEuI0wOiF1QOpEWCmxsvcSBe&#10;p7b74O/ZnuC2szOaR7U4uUEcMMTek4J8koFAar3pqVOwWS9v5iBi0mT04AkV/GCERX15UenS+CO9&#10;4qFJnWATiqVWYFMaSylja9HpOPEjEnOfPjidGIZOmqCPbO4GOc2yQjrdEydYPeKjxfa72TsFy/DU&#10;9Jvcht396vn9Y/e2fhlXX0pdX+XZA4iEp/QnhnN9rg41d9r6PZkoBgXT+axgqYIZL2D+9q5gvOWD&#10;H7Ku5P8B9S9QSwMEFAAAAAgAh07iQCgk8UYFAgAAEAQAAA4AAABkcnMvZTJvRG9jLnhtbK1TS5LT&#10;MBDdU8UdVNoTO4Hhk4ozVRCGDQVUDRxAkdq2qvQrtRI7F4AbsGLDnnPlHLTkTAaGTRZ4YbfVT6/7&#10;PbVW16M1bA8RtXcNn89qzsBJr7TrGv7l882Tl5xhEk4J4x00/ADIr9ePH62GsISF771REBmROFwO&#10;oeF9SmFZVSh7sAJnPoCjZOujFYl+Y1epKAZit6Za1PXzavBRheglINLqZkryE2O8hNC3rZaw8XJn&#10;waWJNYIRiSRhrwPydem2bUGmj22LkJhpOClN5U1FKN7md7VeiWUXRei1PLUgLmnhgSYrtKOiZ6qN&#10;SILtov6HymoZPfo2zaS31SSkOEIq5vUDb257EaBoIasxnE3H/0crP+w/RaYVTcKcMycsnfjx+7fj&#10;j1/Hn18ZrZFBQ8Al4W4DIdP42o8EvltHWsy6xzba/CVFjPJk7+FsL4yJybypfvF0fkUpSbnF1bO6&#10;Lv5X97tDxPQOvGU5aHik4yuuiv17TNQJQe8guZjzN9qYcoTGsYEqvKoLv6C5bGkeqJQNpA1dV3jQ&#10;G63ynrwbY7d9YyLbizwb5cmqqMZfsFxwI7CfcCU1TY3VCWIp3oNQb51i6RDIPkfXhuduLCjODNAt&#10;y1FBJqHNJUhqwjjqJVs/WZyjNG5Hosnh1qsDHccuRN31ZFU5kAKnQSkiTkOdJ/HP/0J6f5H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aDrp/1gAAAAgBAAAPAAAAAAAAAAEAIAAAACIAAABkcnMv&#10;ZG93bnJldi54bWxQSwECFAAUAAAACACHTuJAKCTxRgUCAAAQBAAADgAAAAAAAAABACAAAAAlAQAA&#10;ZHJzL2Uyb0RvYy54bWxQSwUGAAAAAAYABgBZAQAAnAUAAAAA&#10;">
                <v:fill on="f" focussize="0,0"/>
                <v:stroke weight="1.5pt" color="#000000" joinstyle="miter"/>
                <v:imagedata o:title=""/>
                <o:lock v:ext="edit" aspectratio="f"/>
                <v:textbox>
                  <w:txbxContent>
                    <w:p w14:paraId="5EAE9301">
                      <w:pPr>
                        <w:spacing w:line="0" w:lineRule="atLeast"/>
                        <w:jc w:val="center"/>
                        <w:rPr>
                          <w:rFonts w:hint="default"/>
                          <w:sz w:val="21"/>
                          <w:szCs w:val="21"/>
                          <w:lang w:val="en-US"/>
                        </w:rPr>
                      </w:pPr>
                      <w:r>
                        <w:rPr>
                          <w:rFonts w:hint="eastAsia"/>
                          <w:sz w:val="21"/>
                          <w:szCs w:val="21"/>
                          <w:lang w:val="en-US" w:eastAsia="zh-CN"/>
                        </w:rPr>
                        <w:t>分析仪子系统</w:t>
                      </w:r>
                    </w:p>
                  </w:txbxContent>
                </v:textbox>
              </v:shape>
            </w:pict>
          </mc:Fallback>
        </mc:AlternateContent>
      </w:r>
      <w:r>
        <w:rPr>
          <w:sz w:val="21"/>
          <w:szCs w:val="21"/>
        </w:rPr>
        <mc:AlternateContent>
          <mc:Choice Requires="wps">
            <w:drawing>
              <wp:anchor distT="0" distB="0" distL="114300" distR="114300" simplePos="0" relativeHeight="251666432" behindDoc="0" locked="0" layoutInCell="1" allowOverlap="1">
                <wp:simplePos x="0" y="0"/>
                <wp:positionH relativeFrom="column">
                  <wp:posOffset>1517650</wp:posOffset>
                </wp:positionH>
                <wp:positionV relativeFrom="paragraph">
                  <wp:posOffset>173990</wp:posOffset>
                </wp:positionV>
                <wp:extent cx="0" cy="342265"/>
                <wp:effectExtent l="48895" t="0" r="57785" b="8255"/>
                <wp:wrapNone/>
                <wp:docPr id="10" name="直接箭头连接符 10"/>
                <wp:cNvGraphicFramePr/>
                <a:graphic xmlns:a="http://schemas.openxmlformats.org/drawingml/2006/main">
                  <a:graphicData uri="http://schemas.microsoft.com/office/word/2010/wordprocessingShape">
                    <wps:wsp>
                      <wps:cNvCnPr/>
                      <wps:spPr>
                        <a:xfrm flipV="1">
                          <a:off x="0" y="0"/>
                          <a:ext cx="0" cy="342265"/>
                        </a:xfrm>
                        <a:prstGeom prst="straightConnector1">
                          <a:avLst/>
                        </a:prstGeom>
                        <a:ln w="9525" cap="flat" cmpd="sng">
                          <a:solidFill>
                            <a:srgbClr val="000000"/>
                          </a:solidFill>
                          <a:prstDash val="solid"/>
                          <a:headEnd type="arrow" w="med" len="med"/>
                          <a:tailEnd type="arrow" w="med" len="med"/>
                        </a:ln>
                      </wps:spPr>
                      <wps:bodyPr/>
                    </wps:wsp>
                  </a:graphicData>
                </a:graphic>
              </wp:anchor>
            </w:drawing>
          </mc:Choice>
          <mc:Fallback>
            <w:pict>
              <v:shape id="_x0000_s1026" o:spid="_x0000_s1026" o:spt="32" type="#_x0000_t32" style="position:absolute;left:0pt;flip:y;margin-left:119.5pt;margin-top:13.7pt;height:26.95pt;width:0pt;z-index:251666432;mso-width-relative:page;mso-height-relative:page;" filled="f" stroked="t" coordsize="21600,21600" o:gfxdata="UEsDBAoAAAAAAIdO4kAAAAAAAAAAAAAAAAAEAAAAZHJzL1BLAwQUAAAACACHTuJAztYlTNkAAAAJ&#10;AQAADwAAAGRycy9kb3ducmV2LnhtbE2PS0/DMBCE70j8B2uRuFEnaVVKiNNDpRa4UFEeEjcnXuII&#10;ex3F7oN/zyIOcNvdGc1+Uy1P3okDjrEPpCCfZCCQ2mB66hS8PK+vFiBi0mS0C4QKvjDCsj4/q3Rp&#10;wpGe8LBLneAQiqVWYFMaSilja9HrOAkDEmsfYfQ68Tp20oz6yOHeySLL5tLrnviD1QOuLLafu71X&#10;0JNbPa6bu+3DfLN5v38Nb7PCeqUuL/LsFkTCU/ozww8+o0PNTE3Yk4nCKSimN9wl8XA9A8GG30Oj&#10;YJFPQdaV/N+g/gZQSwMEFAAAAAgAh07iQA4+GKwCAgAA+QMAAA4AAABkcnMvZTJvRG9jLnhtbK2T&#10;zY7TMBDH70i8g+U7TbfQFURN99CyXBBU4uM+dZzEkr/k8TbtS/ACSJyAE3DaO08Dy2MwdkKB5dID&#10;OURje+bv+f8yWVzsjWY7GVA5W/GzyZQzaYWrlW0r/url5b2HnGEEW4N2Vlb8IJFfLO/eWfS+lDPX&#10;OV3LwEjEYtn7incx+rIoUHTSAE6cl5YOGxcMRFqGtqgD9KRudDGbTs+L3oXaByckIu2uh0M+KoZT&#10;BF3TKCHXTlwZaeOgGqSGSJawUx75MnfbNFLE502DMjJdcXIa85suoXib3sVyAWUbwHdKjC3AKS3c&#10;8mRAWbr0KLWGCOwqqH+kjBLBoWviRDhTDEYyEXJxNr3F5kUHXmYvhBr9ETr+P1nxbLcJTNU0CYTE&#10;gqEvfvP2+vubDzdfPn97f/3j67sUf/rI6Jxg9R5LqlnZTRhX6DchOd83wbBGK/+atDILcsf2GfXh&#10;iFruIxPDpqDd+w9ms/N5Ei4GhaTkA8Yn0hmWgopjDKDaLq6ctfQ9XRjUYfcU41D4qyAVa8v6ij+a&#10;z+acCaD5bGguKDSePKJtc2fotKovldapAkO7XenAdpBmJD9jQ3+lpUvWgN2Ql49SGpSdhPqxrVk8&#10;eIIHIbiepx6MrDnTkn6yFOXUCEqflEo0tCUoCfcAOEVbVx8y97xPE5GxjdObRu7Pda7+/ccu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1iVM2QAAAAkBAAAPAAAAAAAAAAEAIAAAACIAAABkcnMv&#10;ZG93bnJldi54bWxQSwECFAAUAAAACACHTuJADj4YrAICAAD5AwAADgAAAAAAAAABACAAAAAoAQAA&#10;ZHJzL2Uyb0RvYy54bWxQSwUGAAAAAAYABgBZAQAAnAUAAAAA&#10;">
                <v:fill on="f" focussize="0,0"/>
                <v:stroke color="#000000" joinstyle="round" startarrow="open" endarrow="open"/>
                <v:imagedata o:title=""/>
                <o:lock v:ext="edit" aspectratio="f"/>
              </v:shape>
            </w:pict>
          </mc:Fallback>
        </mc:AlternateContent>
      </w:r>
      <w:r>
        <w:rPr>
          <w:rFonts w:hAnsi="FangSong" w:eastAsia="FangSong"/>
          <w:sz w:val="21"/>
          <w:szCs w:val="21"/>
        </w:rPr>
        <mc:AlternateContent>
          <mc:Choice Requires="wps">
            <w:drawing>
              <wp:anchor distT="0" distB="0" distL="114300" distR="114300" simplePos="0" relativeHeight="251664384" behindDoc="0" locked="0" layoutInCell="1" allowOverlap="1">
                <wp:simplePos x="0" y="0"/>
                <wp:positionH relativeFrom="column">
                  <wp:posOffset>1254125</wp:posOffset>
                </wp:positionH>
                <wp:positionV relativeFrom="paragraph">
                  <wp:posOffset>173990</wp:posOffset>
                </wp:positionV>
                <wp:extent cx="519430" cy="0"/>
                <wp:effectExtent l="0" t="38100" r="13970" b="38100"/>
                <wp:wrapNone/>
                <wp:docPr id="9" name="直接箭头连接符 9"/>
                <wp:cNvGraphicFramePr/>
                <a:graphic xmlns:a="http://schemas.openxmlformats.org/drawingml/2006/main">
                  <a:graphicData uri="http://schemas.microsoft.com/office/word/2010/wordprocessingShape">
                    <wps:wsp>
                      <wps:cNvCnPr/>
                      <wps:spPr>
                        <a:xfrm>
                          <a:off x="0" y="0"/>
                          <a:ext cx="51943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98.75pt;margin-top:13.7pt;height:0pt;width:40.9pt;z-index:251664384;mso-width-relative:page;mso-height-relative:page;" filled="f" stroked="t" coordsize="21600,21600" o:gfxdata="UEsDBAoAAAAAAIdO4kAAAAAAAAAAAAAAAAAEAAAAZHJzL1BLAwQUAAAACACHTuJAIZ+S69gAAAAJ&#10;AQAADwAAAGRycy9kb3ducmV2LnhtbE2PTUvEMBCG74L/IYzgzU23amtr0wVdxF4U3BXxmG3GNthM&#10;SpP98tc74kGP78zDO89Ui4MbxA6nYD0pmM8SEEitN5Y6Ba/rh4sbECFqMnrwhAqOGGBRn55UujR+&#10;Ty+4W8VOcAmFUivoYxxLKUPbo9Nh5kck3n34yenIceqkmfSey90g0yTJpNOW+EKvR7zvsf1cbZ2C&#10;uHw/9tlbe1fY5/XjU2a/mqZZKnV+Nk9uQUQ8xD8YfvRZHWp22vgtmSAGzkV+zaiCNL8CwUCaF5cg&#10;Nr8DWVfy/wf1N1BLAwQUAAAACACHTuJAIHbw/wICAADvAwAADgAAAGRycy9lMm9Eb2MueG1srVPN&#10;jtMwEL4j8Q6W7zRtoYhGTffQslwQrAQ8wNRxEkv+k8fbtC/BCyBxAk7Aae88DSyPwdjptrAIaQ/k&#10;4Iw9M9/M93m8ONsZzbYyoHK24pPRmDNphauVbSv+5vX5gyecYQRbg3ZWVnwvkZ8t799b9L6UU9c5&#10;XcvACMRi2fuKdzH6sihQdNIAjpyXlpyNCwYibUNb1AF6Qje6mI7Hj4vehdoHJyQina4HJz8ghrsA&#10;uqZRQq6duDTSxgE1SA2RKGGnPPJl7rZppIgvmwZlZLrixDTmlYqQvUlrsVxA2QbwnRKHFuAuLdzi&#10;ZEBZKnqEWkMEdhnUX1BGieDQNXEknCkGIlkRYjEZ39LmVQdeZi4kNfqj6Pj/YMWL7UVgqq74nDML&#10;hi78+t3Vj7cfr79++f7h6ue398n+/InNk1S9x5IyVvYiHHboL0LivWuCSX9ixHZZ3v1RXrmLTNDh&#10;bDJ/9JCEFzeu4pTnA8Zn0hmWjIpjDKDaLq6ctXSHLkyyurB9jpEqU+JNQiqqLeuJwGw6I3CgmWxo&#10;Fsg0nnihbXMuOq3qc6V1ysDQblY6sC2kuchf4ke4f4SlImvAbojLrmFiOgn1U1uzuPekmKWHwlML&#10;RtacaUnvKlkECGUEpU+RMSiwrf5HNJXXlrpIMg/CJmvj6n3WO5/THOQ+DzObBu33fc4+vdPl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GfkuvYAAAACQEAAA8AAAAAAAAAAQAgAAAAIgAAAGRycy9k&#10;b3ducmV2LnhtbFBLAQIUABQAAAAIAIdO4kAgdvD/AgIAAO8DAAAOAAAAAAAAAAEAIAAAACcBAABk&#10;cnMvZTJvRG9jLnhtbFBLBQYAAAAABgAGAFkBAACbBQAAAAA=&#10;">
                <v:fill on="f" focussize="0,0"/>
                <v:stroke color="#000000" joinstyle="round" endarrow="block"/>
                <v:imagedata o:title=""/>
                <o:lock v:ext="edit" aspectratio="f"/>
              </v:shape>
            </w:pict>
          </mc:Fallback>
        </mc:AlternateContent>
      </w:r>
      <w:r>
        <w:rPr>
          <w:sz w:val="21"/>
          <w:szCs w:val="21"/>
        </w:rPr>
        <mc:AlternateContent>
          <mc:Choice Requires="wps">
            <w:drawing>
              <wp:anchor distT="0" distB="0" distL="114300" distR="114300" simplePos="0" relativeHeight="251662336" behindDoc="0" locked="0" layoutInCell="1" allowOverlap="1">
                <wp:simplePos x="0" y="0"/>
                <wp:positionH relativeFrom="column">
                  <wp:posOffset>390525</wp:posOffset>
                </wp:positionH>
                <wp:positionV relativeFrom="paragraph">
                  <wp:posOffset>49530</wp:posOffset>
                </wp:positionV>
                <wp:extent cx="863600" cy="254000"/>
                <wp:effectExtent l="9525" t="9525" r="10795" b="10795"/>
                <wp:wrapNone/>
                <wp:docPr id="7" name="文本框 7"/>
                <wp:cNvGraphicFramePr/>
                <a:graphic xmlns:a="http://schemas.openxmlformats.org/drawingml/2006/main">
                  <a:graphicData uri="http://schemas.microsoft.com/office/word/2010/wordprocessingShape">
                    <wps:wsp>
                      <wps:cNvSpPr txBox="1"/>
                      <wps:spPr>
                        <a:xfrm>
                          <a:off x="0" y="0"/>
                          <a:ext cx="863600" cy="254000"/>
                        </a:xfrm>
                        <a:prstGeom prst="rect">
                          <a:avLst/>
                        </a:prstGeom>
                        <a:noFill/>
                        <a:ln w="19050" cap="flat" cmpd="sng">
                          <a:solidFill>
                            <a:srgbClr val="000000"/>
                          </a:solidFill>
                          <a:prstDash val="solid"/>
                          <a:miter/>
                          <a:headEnd type="none" w="med" len="med"/>
                          <a:tailEnd type="none" w="med" len="med"/>
                        </a:ln>
                      </wps:spPr>
                      <wps:txbx>
                        <w:txbxContent>
                          <w:p w14:paraId="1D734441">
                            <w:pPr>
                              <w:spacing w:line="0" w:lineRule="atLeast"/>
                              <w:jc w:val="center"/>
                              <w:rPr>
                                <w:sz w:val="21"/>
                                <w:szCs w:val="21"/>
                              </w:rPr>
                            </w:pPr>
                            <w:r>
                              <w:rPr>
                                <w:rFonts w:hint="eastAsia"/>
                                <w:sz w:val="21"/>
                                <w:szCs w:val="21"/>
                              </w:rPr>
                              <w:t>采样单元</w:t>
                            </w:r>
                          </w:p>
                          <w:p w14:paraId="42425021">
                            <w:pPr>
                              <w:rPr>
                                <w:sz w:val="21"/>
                                <w:szCs w:val="21"/>
                              </w:rPr>
                            </w:pPr>
                          </w:p>
                        </w:txbxContent>
                      </wps:txbx>
                      <wps:bodyPr upright="1"/>
                    </wps:wsp>
                  </a:graphicData>
                </a:graphic>
              </wp:anchor>
            </w:drawing>
          </mc:Choice>
          <mc:Fallback>
            <w:pict>
              <v:shape id="_x0000_s1026" o:spid="_x0000_s1026" o:spt="202" type="#_x0000_t202" style="position:absolute;left:0pt;margin-left:30.75pt;margin-top:3.9pt;height:20pt;width:68pt;z-index:251662336;mso-width-relative:page;mso-height-relative:page;" filled="f" stroked="t" coordsize="21600,21600" o:gfxdata="UEsDBAoAAAAAAIdO4kAAAAAAAAAAAAAAAAAEAAAAZHJzL1BLAwQUAAAACACHTuJAEjvkqtcAAAAH&#10;AQAADwAAAGRycy9kb3ducmV2LnhtbE2PzU7DMBCE70i8g7VI3KgTBC1Ns+kB0QsqB9Ii0ZsbL3Eg&#10;tlPb/eHt2Z7KcXZGs9+U85PtxYFC7LxDyEcZCHKN151rEdarxd0TiJiU06r3jhB+KcK8ur4qVaH9&#10;0b3ToU6t4BIXC4VgUhoKKWNjyKo48gM59r58sCqxDK3UQR253PbyPsvG0qrO8QejBno21PzUe4uw&#10;CC91t85N2E2Xr5+b3cfqbVh+I97e5NkMRKJTuoThjM/oUDHT1u+djqJHGOePnESY8ICzPZ2w3iI8&#10;8EFWpfzPX/0BUEsDBBQAAAAIAIdO4kBffltcAwIAAA0EAAAOAAAAZHJzL2Uyb0RvYy54bWytU0uS&#10;0zAQ3VPFHVTaE3sCkxlccaYKwrChgKqBAyj62KrSr9RK7FwAbsCKDXvOlXNMS85kYNhkgRd2W/30&#10;1O91a3kzWkN2MoL2rqUXs5oS6bgX2nUt/frl9sU1JZCYE8x4J1u6l0BvVs+fLYfQyLnvvREyEiRx&#10;0AyhpX1Koakq4L20DGY+SIdJ5aNlCX9jV4nIBmS3pprX9aIafBQhei4BcHU9JemRMZ5D6JXSXK49&#10;31rp0sQapWEJJUGvA9BVqVYpydMnpUAmYlqKSlN54yEYb/K7Wi1Z00UWes2PJbBzSniiyTLt8NAT&#10;1ZolRrZR/0NlNY8evEoz7m01CSmOoIqL+ok3dz0LsmhBqyGcTIf/R8s/7j5HokVLryhxzGLDDz++&#10;H37+Pvz6Rq6yPUOABlF3AXFpfONHHJqHdcDFrHpU0eYv6iGYR3P3J3PlmAjHxevFy0WNGY6p+eWr&#10;GmNkrx43hwjpvfSW5KClEXtXLGW7D5Am6AMkn+X8rTam9M84MmBVr+vLzM9wKBUOA4Y2oDBwXeEB&#10;b7TIe/JuiN3mrYlkx/JglOdYzl+wfOCaQT/hSirDWGN1krFEvWTinRMk7QOa5/DO0FyNlYISI/GK&#10;5aggE9PmHCR6Yhxak52fHM5RGjcj0uRw48Ueu7ENUXc9WlX6UeA4JcXT40TnMfzzv5A+3uLVP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I75KrXAAAABwEAAA8AAAAAAAAAAQAgAAAAIgAAAGRycy9k&#10;b3ducmV2LnhtbFBLAQIUABQAAAAIAIdO4kBffltcAwIAAA0EAAAOAAAAAAAAAAEAIAAAACYBAABk&#10;cnMvZTJvRG9jLnhtbFBLBQYAAAAABgAGAFkBAACbBQAAAAA=&#10;">
                <v:fill on="f" focussize="0,0"/>
                <v:stroke weight="1.5pt" color="#000000" joinstyle="miter"/>
                <v:imagedata o:title=""/>
                <o:lock v:ext="edit" aspectratio="f"/>
                <v:textbox>
                  <w:txbxContent>
                    <w:p w14:paraId="1D734441">
                      <w:pPr>
                        <w:spacing w:line="0" w:lineRule="atLeast"/>
                        <w:jc w:val="center"/>
                        <w:rPr>
                          <w:sz w:val="21"/>
                          <w:szCs w:val="21"/>
                        </w:rPr>
                      </w:pPr>
                      <w:r>
                        <w:rPr>
                          <w:rFonts w:hint="eastAsia"/>
                          <w:sz w:val="21"/>
                          <w:szCs w:val="21"/>
                        </w:rPr>
                        <w:t>采样单元</w:t>
                      </w:r>
                    </w:p>
                    <w:p w14:paraId="42425021">
                      <w:pPr>
                        <w:rPr>
                          <w:sz w:val="21"/>
                          <w:szCs w:val="21"/>
                        </w:rPr>
                      </w:pPr>
                    </w:p>
                  </w:txbxContent>
                </v:textbox>
              </v:shape>
            </w:pict>
          </mc:Fallback>
        </mc:AlternateContent>
      </w:r>
      <w:r>
        <w:rPr>
          <w:rFonts w:hint="eastAsia" w:hAnsi="FangSong" w:eastAsia="FangSong"/>
          <w:sz w:val="21"/>
          <w:szCs w:val="21"/>
        </w:rPr>
        <w:t xml:space="preserve">    </w:t>
      </w:r>
    </w:p>
    <w:p w14:paraId="03B249C2">
      <w:pPr>
        <w:spacing w:line="300" w:lineRule="auto"/>
        <w:rPr>
          <w:sz w:val="21"/>
          <w:szCs w:val="21"/>
        </w:rPr>
      </w:pPr>
    </w:p>
    <w:p w14:paraId="0424B8EB">
      <w:pPr>
        <w:adjustRightInd w:val="0"/>
        <w:snapToGrid w:val="0"/>
        <w:spacing w:line="360" w:lineRule="auto"/>
        <w:ind w:firstLine="550"/>
        <w:rPr>
          <w:rFonts w:eastAsia="FangSong"/>
          <w:sz w:val="21"/>
          <w:szCs w:val="21"/>
        </w:rPr>
      </w:pPr>
      <w:bookmarkStart w:id="32" w:name="_GoBack"/>
      <w:r>
        <w:rPr>
          <w:sz w:val="21"/>
          <w:szCs w:val="21"/>
        </w:rPr>
        <mc:AlternateContent>
          <mc:Choice Requires="wps">
            <w:drawing>
              <wp:anchor distT="0" distB="0" distL="114300" distR="114300" simplePos="0" relativeHeight="251663360" behindDoc="0" locked="0" layoutInCell="1" allowOverlap="1">
                <wp:simplePos x="0" y="0"/>
                <wp:positionH relativeFrom="column">
                  <wp:posOffset>1104900</wp:posOffset>
                </wp:positionH>
                <wp:positionV relativeFrom="paragraph">
                  <wp:posOffset>20955</wp:posOffset>
                </wp:positionV>
                <wp:extent cx="927100" cy="400050"/>
                <wp:effectExtent l="9525" t="9525" r="23495" b="17145"/>
                <wp:wrapNone/>
                <wp:docPr id="1" name="文本框 1"/>
                <wp:cNvGraphicFramePr/>
                <a:graphic xmlns:a="http://schemas.openxmlformats.org/drawingml/2006/main">
                  <a:graphicData uri="http://schemas.microsoft.com/office/word/2010/wordprocessingShape">
                    <wps:wsp>
                      <wps:cNvSpPr txBox="1"/>
                      <wps:spPr>
                        <a:xfrm>
                          <a:off x="0" y="0"/>
                          <a:ext cx="927100" cy="400050"/>
                        </a:xfrm>
                        <a:prstGeom prst="rect">
                          <a:avLst/>
                        </a:prstGeom>
                        <a:noFill/>
                        <a:ln w="19050" cap="flat" cmpd="sng">
                          <a:solidFill>
                            <a:srgbClr val="000000"/>
                          </a:solidFill>
                          <a:prstDash val="solid"/>
                          <a:miter/>
                          <a:headEnd type="none" w="med" len="med"/>
                          <a:tailEnd type="none" w="med" len="med"/>
                        </a:ln>
                      </wps:spPr>
                      <wps:txbx>
                        <w:txbxContent>
                          <w:p w14:paraId="104A3588">
                            <w:pPr>
                              <w:adjustRightInd w:val="0"/>
                              <w:snapToGrid w:val="0"/>
                              <w:spacing w:line="160" w:lineRule="atLeast"/>
                              <w:jc w:val="center"/>
                              <w:rPr>
                                <w:rFonts w:hint="default" w:eastAsiaTheme="minorEastAsia"/>
                                <w:szCs w:val="21"/>
                                <w:lang w:val="en-US" w:eastAsia="zh-CN"/>
                              </w:rPr>
                            </w:pPr>
                            <w:r>
                              <w:rPr>
                                <w:rFonts w:hint="eastAsia" w:ascii="SimSun" w:hAnsi="SimSun"/>
                                <w:sz w:val="18"/>
                                <w:szCs w:val="18"/>
                                <w:lang w:val="en-US" w:eastAsia="zh-CN"/>
                              </w:rPr>
                              <w:t>气体标准物质</w:t>
                            </w:r>
                          </w:p>
                        </w:txbxContent>
                      </wps:txbx>
                      <wps:bodyPr upright="1"/>
                    </wps:wsp>
                  </a:graphicData>
                </a:graphic>
              </wp:anchor>
            </w:drawing>
          </mc:Choice>
          <mc:Fallback>
            <w:pict>
              <v:shape id="_x0000_s1026" o:spid="_x0000_s1026" o:spt="202" type="#_x0000_t202" style="position:absolute;left:0pt;margin-left:87pt;margin-top:1.65pt;height:31.5pt;width:73pt;z-index:251663360;mso-width-relative:page;mso-height-relative:page;" filled="f" stroked="t" coordsize="21600,21600" o:gfxdata="UEsDBAoAAAAAAIdO4kAAAAAAAAAAAAAAAAAEAAAAZHJzL1BLAwQUAAAACACHTuJAJ5CBp9cAAAAI&#10;AQAADwAAAGRycy9kb3ducmV2LnhtbE2PzU7DMBCE70i8g7VI3KgTggKEOD0gekHlQFokuLnxEgfi&#10;dWq7P7w92xMcRzOa+aaeH90o9hji4ElBPstAIHXeDNQrWK8WV3cgYtJk9OgJFfxghHlzflbryvgD&#10;veK+Tb3gEoqVVmBTmiopY2fR6TjzExJ7nz44nViGXpqgD1zuRnmdZaV0eiBesHrCR4vdd7tzChbh&#10;qR3WuQ3b++Xz+8f2bfUyLb+UurzIswcQCY/pLwwnfEaHhpk2fkcmipH17Q1/SQqKAgT7Bc+B2Cgo&#10;ywJkU8v/B5pfUEsDBBQAAAAIAIdO4kBROaqDAgIAAA0EAAAOAAAAZHJzL2Uyb0RvYy54bWytU8uu&#10;0zAQ3SPxD5b3NGnF61ZNrwTlskGAdOEDXHuSWPJLHrdJfwD+gBUb9nxXv4OxU3ofbLogi2TiOT4z&#10;53i8uh6tYXuIqL1r+HxWcwZOeqVd1/CvX26eveYMk3BKGO+g4QdAfr1++mQ1hCUsfO+NgsiIxOFy&#10;CA3vUwrLqkLZgxU48wEcJVsfrUj0G7tKRTEQuzXVoq5fVoOPKkQvAZFWN1OSnxjjJYS+bbWEjZc7&#10;Cy5NrBGMSCQJex2Qr0u3bQsyfWpbhMRMw0lpKm8qQvE2v6v1Siy7KEKv5akFcUkLjzRZoR0VPVNt&#10;RBJsF/U/VFbL6NG3aSa9rSYhxRFSMa8feXPbiwBFC1mN4Ww6/j9a+XH/OTKtaBI4c8LSgR9/fD/+&#10;/H389Y3Nsz1DwCWhbgPh0vjGjxl6WkdazKrHNtr8JT2M8mTu4WwujIlJWrxavJrXlJGUel7X9Yti&#10;fnW3OURM78FbloOGRzq7YqnYf8BEBQn6F5JrOX+jjSnnZxwbqKurzMmkoKFsaRgotIGEoesKD3qj&#10;Vd6Td2Pstm9NZHuRB6M8WRTVeADLBTcC+wlXUtPIWJ0gluI9CPXOKZYOgcxzdGd47saC4swAXbEc&#10;FWQS2lyCpCaMo16y85PDOUrjdiSaHG69OtBp7ELUXU9WlfMocJqSIuI00XkM7/8X0rtbvP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5CBp9cAAAAIAQAADwAAAAAAAAABACAAAAAiAAAAZHJzL2Rv&#10;d25yZXYueG1sUEsBAhQAFAAAAAgAh07iQFE5qoMCAgAADQQAAA4AAAAAAAAAAQAgAAAAJgEAAGRy&#10;cy9lMm9Eb2MueG1sUEsFBgAAAAAGAAYAWQEAAJoFAAAAAA==&#10;">
                <v:fill on="f" focussize="0,0"/>
                <v:stroke weight="1.5pt" color="#000000" joinstyle="miter"/>
                <v:imagedata o:title=""/>
                <o:lock v:ext="edit" aspectratio="f"/>
                <v:textbox>
                  <w:txbxContent>
                    <w:p w14:paraId="104A3588">
                      <w:pPr>
                        <w:adjustRightInd w:val="0"/>
                        <w:snapToGrid w:val="0"/>
                        <w:spacing w:line="160" w:lineRule="atLeast"/>
                        <w:jc w:val="center"/>
                        <w:rPr>
                          <w:rFonts w:hint="default" w:eastAsiaTheme="minorEastAsia"/>
                          <w:szCs w:val="21"/>
                          <w:lang w:val="en-US" w:eastAsia="zh-CN"/>
                        </w:rPr>
                      </w:pPr>
                      <w:r>
                        <w:rPr>
                          <w:rFonts w:hint="eastAsia" w:ascii="SimSun" w:hAnsi="SimSun"/>
                          <w:sz w:val="18"/>
                          <w:szCs w:val="18"/>
                          <w:lang w:val="en-US" w:eastAsia="zh-CN"/>
                        </w:rPr>
                        <w:t>气体标准物质</w:t>
                      </w:r>
                    </w:p>
                  </w:txbxContent>
                </v:textbox>
              </v:shape>
            </w:pict>
          </mc:Fallback>
        </mc:AlternateContent>
      </w:r>
      <w:bookmarkEnd w:id="32"/>
    </w:p>
    <w:p w14:paraId="71E97F6D">
      <w:pPr>
        <w:adjustRightInd w:val="0"/>
        <w:snapToGrid w:val="0"/>
        <w:spacing w:line="360" w:lineRule="auto"/>
        <w:ind w:firstLine="550"/>
        <w:rPr>
          <w:rFonts w:eastAsia="FangSong"/>
          <w:sz w:val="21"/>
          <w:szCs w:val="21"/>
        </w:rPr>
      </w:pPr>
    </w:p>
    <w:p w14:paraId="51D9291E">
      <w:pPr>
        <w:pStyle w:val="6"/>
        <w:jc w:val="center"/>
        <w:rPr>
          <w:rFonts w:hint="eastAsia" w:ascii="SimHei" w:hAnsi="SimHei"/>
          <w:sz w:val="21"/>
          <w:szCs w:val="21"/>
          <w:lang w:val="en-US" w:eastAsia="zh-CN"/>
        </w:rPr>
      </w:pPr>
      <w:r>
        <w:rPr>
          <w:rFonts w:hint="eastAsia" w:ascii="SimHei" w:hAnsi="SimHei"/>
          <w:sz w:val="21"/>
          <w:szCs w:val="21"/>
          <w:lang w:val="en-US" w:eastAsia="zh-CN"/>
        </w:rPr>
        <w:t>图2  测量系统校准流程图</w:t>
      </w:r>
    </w:p>
    <w:p w14:paraId="2CF63159">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7.4示值</w:t>
      </w:r>
      <w:r>
        <w:rPr>
          <w:rFonts w:hint="eastAsia" w:ascii="Times New Roman" w:hAnsi="Times New Roman" w:cs="Times New Roman"/>
          <w:color w:val="auto"/>
          <w:spacing w:val="2"/>
          <w:kern w:val="0"/>
          <w:sz w:val="24"/>
          <w:szCs w:val="21"/>
          <w:lang w:val="en-US" w:eastAsia="zh-CN" w:bidi="ar-SA"/>
        </w:rPr>
        <w:t>引用</w:t>
      </w:r>
      <w:r>
        <w:rPr>
          <w:rFonts w:hint="eastAsia" w:ascii="Times New Roman" w:hAnsi="Times New Roman" w:eastAsia="SimSun" w:cs="Times New Roman"/>
          <w:color w:val="auto"/>
          <w:spacing w:val="2"/>
          <w:kern w:val="0"/>
          <w:sz w:val="24"/>
          <w:szCs w:val="21"/>
          <w:lang w:val="en-US" w:eastAsia="zh-CN" w:bidi="ar-SA"/>
        </w:rPr>
        <w:t>误差</w:t>
      </w:r>
    </w:p>
    <w:p w14:paraId="46DE1DA9">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示值误差校准方法与JJG 693—2011《可燃气体检测报警器检定规程》、JJF 1585—2016《固定污染源烟气排放连续监测系统校准规范》、JJF 1907—2021《环境空气在线监测气体分析仪校准规范》等标准基本一致，《可燃气体检测报警器检定规程》示值误差选点时20%、40%、60%，《固定污染源烟气排放连续监测系统校准规范》选点20%、50%、80%，《环境空气和废气 总烃、甲烷和非甲烷总烃便携式监测仪技术要求及检测方法》仪器示值误差选点20%、50%、80%，仪器间平行性通入浓度为（20%～30%）满量程值、（40%～60%）满量程值、（80%～90%）满量程值3种标准气体。国际民用航空公约附件16《环境保护》第II卷 — 《航空器发动机的排放物》和HB 6117航空燃气涡轮发动机气态污染物的连续取样及测量方法中校准要求，引入浓度约为满量程30%，60%和90%标准气体进行校准。所以本标准综合考虑后选点为满量程30%，60%和90%。</w:t>
      </w:r>
    </w:p>
    <w:p w14:paraId="3D44DA4E">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规程中校准方法如下:</w:t>
      </w:r>
    </w:p>
    <w:p w14:paraId="23B7DF6F">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系统校准零点和量程点后，分别通入约为测量量程30%，60%和90%标准气体，每种浓度的标准气体通入3次，按公式(1)计算3次示值的算术平均值。按公式(2)计算不同浓度值的示值引用误差。</w:t>
      </w:r>
    </w:p>
    <w:p w14:paraId="11E9C491">
      <w:pPr>
        <w:snapToGrid w:val="0"/>
        <w:ind w:left="420" w:leftChars="200" w:firstLine="0"/>
        <w:jc w:val="right"/>
        <w:rPr>
          <w:rFonts w:ascii="SimSun" w:hAnsi="SimSun"/>
        </w:rPr>
      </w:pPr>
      <w:r>
        <w:rPr>
          <w:rFonts w:hint="eastAsia" w:ascii="SimSun" w:hAnsi="SimSun"/>
          <w:position w:val="-24"/>
        </w:rPr>
        <w:object>
          <v:shape id="_x0000_i1025" o:spt="75" type="#_x0000_t75" style="height:31.6pt;width:93.6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ascii="SimSun" w:hAnsi="SimSun"/>
        </w:rPr>
        <w:t xml:space="preserve">                     （</w:t>
      </w:r>
      <w:r>
        <w:rPr>
          <w:rFonts w:hint="eastAsia" w:ascii="SimSun" w:hAnsi="SimSun"/>
          <w:lang w:val="en-US" w:eastAsia="zh-CN"/>
        </w:rPr>
        <w:t>1</w:t>
      </w:r>
      <w:r>
        <w:rPr>
          <w:rFonts w:hint="eastAsia" w:ascii="SimSun" w:hAnsi="SimSun"/>
        </w:rPr>
        <w:t>）</w:t>
      </w:r>
    </w:p>
    <w:p w14:paraId="39FC445B">
      <w:pPr>
        <w:snapToGrid w:val="0"/>
        <w:ind w:left="420" w:leftChars="200" w:firstLine="0"/>
        <w:jc w:val="right"/>
        <w:rPr>
          <w:rFonts w:hint="eastAsia" w:ascii="SimSun" w:hAnsi="SimSun"/>
        </w:rPr>
      </w:pPr>
      <w:r>
        <w:rPr>
          <w:rFonts w:hint="eastAsia" w:ascii="SimSun" w:hAnsi="SimSun"/>
          <w:position w:val="-24"/>
        </w:rPr>
        <w:object>
          <v:shape id="_x0000_i1026" o:spt="75" type="#_x0000_t75" style="height:33.7pt;width:104.15pt;" o:ole="t" filled="f" o:preferrelative="t" stroked="f" coordsize="21600,21600">
            <v:path/>
            <v:fill on="f" focussize="0,0"/>
            <v:stroke on="f"/>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ascii="SimSun" w:hAnsi="SimSun"/>
        </w:rPr>
        <w:t xml:space="preserve">        </w:t>
      </w:r>
      <w:r>
        <w:rPr>
          <w:rFonts w:hint="eastAsia" w:ascii="SimSun" w:hAnsi="SimSun"/>
          <w:lang w:val="en-US" w:eastAsia="zh-CN"/>
        </w:rPr>
        <w:t xml:space="preserve">  </w:t>
      </w:r>
      <w:r>
        <w:rPr>
          <w:rFonts w:hint="eastAsia" w:ascii="SimSun" w:hAnsi="SimSun"/>
        </w:rPr>
        <w:t xml:space="preserve">         （</w:t>
      </w:r>
      <w:r>
        <w:rPr>
          <w:rFonts w:hint="eastAsia" w:ascii="SimSun" w:hAnsi="SimSun"/>
          <w:lang w:val="en-US" w:eastAsia="zh-CN"/>
        </w:rPr>
        <w:t>2</w:t>
      </w:r>
      <w:r>
        <w:rPr>
          <w:rFonts w:hint="eastAsia" w:ascii="SimSun" w:hAnsi="SimSun"/>
        </w:rPr>
        <w:t>）</w:t>
      </w:r>
    </w:p>
    <w:p w14:paraId="3BEE970B">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式中：</w:t>
      </w:r>
    </w:p>
    <w:p w14:paraId="5D33ABD5">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object>
          <v:shape id="_x0000_i1027" o:spt="75" type="#_x0000_t75" style="height:20pt;width:13.95pt;" o:ole="t" filled="f" o:preferrelative="t" stroked="f" coordsize="21600,21600">
            <v:path/>
            <v:fill on="f" focussize="0,0"/>
            <v:stroke on="f"/>
            <v:imagedata r:id="rId13" o:title=""/>
            <o:lock v:ext="edit" aspectratio="f"/>
            <w10:wrap type="none"/>
            <w10:anchorlock/>
          </v:shape>
          <o:OLEObject Type="Embed" ProgID="Equation.DSMT4" ShapeID="_x0000_i1027" DrawAspect="Content" ObjectID="_1468075727" r:id="rId12">
            <o:LockedField>false</o:LockedField>
          </o:OLEObject>
        </w:object>
      </w:r>
      <w:r>
        <w:rPr>
          <w:rFonts w:hint="eastAsia" w:ascii="Times New Roman" w:hAnsi="Times New Roman" w:eastAsia="SimSun" w:cs="Times New Roman"/>
          <w:color w:val="auto"/>
          <w:spacing w:val="2"/>
          <w:kern w:val="0"/>
          <w:sz w:val="24"/>
          <w:szCs w:val="21"/>
          <w:lang w:val="en-US" w:eastAsia="zh-CN" w:bidi="ar-SA"/>
        </w:rPr>
        <w:t xml:space="preserve">  ——各浓度测试点3次测量显示值的算术平均值，μmol/mol；</w:t>
      </w:r>
    </w:p>
    <w:p w14:paraId="6DC8CBE9">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object>
          <v:shape id="_x0000_i1028" o:spt="75" type="#_x0000_t75" style="height:18pt;width:13pt;" o:ole="t" filled="f" o:preferrelative="t" stroked="f" coordsize="21600,21600">
            <v:path/>
            <v:fill on="f" focussize="0,0"/>
            <v:stroke on="f"/>
            <v:imagedata r:id="rId15" o:title=""/>
            <o:lock v:ext="edit" aspectratio="f"/>
            <w10:wrap type="none"/>
            <w10:anchorlock/>
          </v:shape>
          <o:OLEObject Type="Embed" ProgID="Equation.DSMT4" ShapeID="_x0000_i1028" DrawAspect="Content" ObjectID="_1468075728" r:id="rId14">
            <o:LockedField>false</o:LockedField>
          </o:OLEObject>
        </w:object>
      </w:r>
      <w:r>
        <w:rPr>
          <w:rFonts w:hint="eastAsia" w:ascii="Times New Roman" w:hAnsi="Times New Roman" w:eastAsia="SimSun" w:cs="Times New Roman"/>
          <w:color w:val="auto"/>
          <w:spacing w:val="2"/>
          <w:kern w:val="0"/>
          <w:sz w:val="24"/>
          <w:szCs w:val="21"/>
          <w:lang w:val="en-US" w:eastAsia="zh-CN" w:bidi="ar-SA"/>
        </w:rPr>
        <w:t xml:space="preserve">  ——标准气体浓度值，μmol/mol(以下相同)；</w:t>
      </w:r>
    </w:p>
    <w:p w14:paraId="043DBBFF">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object>
          <v:shape id="_x0000_i1029" o:spt="75" type="#_x0000_t75" style="height:13pt;width:13pt;" o:ole="t" filled="f" o:preferrelative="t" stroked="f" coordsize="21600,21600">
            <v:path/>
            <v:fill on="f" focussize="0,0"/>
            <v:stroke on="f" joinstyle="miter"/>
            <v:imagedata r:id="rId17" o:title=""/>
            <o:lock v:ext="edit" aspectratio="f"/>
            <w10:wrap type="none"/>
            <w10:anchorlock/>
          </v:shape>
          <o:OLEObject Type="Embed" ProgID="Equation.DSMT4" ShapeID="_x0000_i1029" DrawAspect="Content" ObjectID="_1468075729" r:id="rId16">
            <o:LockedField>false</o:LockedField>
          </o:OLEObject>
        </w:object>
      </w:r>
      <w:r>
        <w:rPr>
          <w:rFonts w:hint="eastAsia" w:ascii="Times New Roman" w:hAnsi="Times New Roman" w:eastAsia="SimSun" w:cs="Times New Roman"/>
          <w:color w:val="auto"/>
          <w:spacing w:val="2"/>
          <w:kern w:val="0"/>
          <w:sz w:val="24"/>
          <w:szCs w:val="21"/>
          <w:lang w:val="en-US" w:eastAsia="zh-CN" w:bidi="ar-SA"/>
        </w:rPr>
        <w:t xml:space="preserve"> ——测量系统量程，μmol/mol(以下相同)。</w:t>
      </w:r>
    </w:p>
    <w:p w14:paraId="00F0CE8B">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object>
          <v:shape id="_x0000_i1030" o:spt="75" type="#_x0000_t75" style="height:18pt;width:15pt;" o:ole="t" filled="f" o:preferrelative="t" stroked="f" coordsize="21600,21600">
            <v:path/>
            <v:fill on="f" focussize="0,0"/>
            <v:stroke on="f"/>
            <v:imagedata r:id="rId19" o:title=""/>
            <o:lock v:ext="edit" aspectratio="f"/>
            <w10:wrap type="none"/>
            <w10:anchorlock/>
          </v:shape>
          <o:OLEObject Type="Embed" ProgID="Equation.DSMT4" ShapeID="_x0000_i1030" DrawAspect="Content" ObjectID="_1468075730" r:id="rId18">
            <o:LockedField>false</o:LockedField>
          </o:OLEObject>
        </w:object>
      </w:r>
      <w:r>
        <w:rPr>
          <w:rFonts w:hint="eastAsia" w:ascii="Times New Roman" w:hAnsi="Times New Roman" w:eastAsia="SimSun" w:cs="Times New Roman"/>
          <w:color w:val="auto"/>
          <w:spacing w:val="2"/>
          <w:kern w:val="0"/>
          <w:sz w:val="24"/>
          <w:szCs w:val="21"/>
          <w:lang w:val="en-US" w:eastAsia="zh-CN" w:bidi="ar-SA"/>
        </w:rPr>
        <w:t xml:space="preserve"> ——各浓度测试点的示值引用误差，%FS。</w:t>
      </w:r>
    </w:p>
    <w:p w14:paraId="5929F764">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7.5线性度</w:t>
      </w:r>
      <w:bookmarkEnd w:id="26"/>
    </w:p>
    <w:p w14:paraId="57F82719">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线性度参考国际民用航空公约附件16《环境保护》第II卷 — 《航空器发动机的排放物》和HB 6117航空燃气涡轮发动机气态污染物的连续取样及测量方法中校准要求，引入浓度约为满量程30%，60%和90%标准气体进行校准，用零点、满量程30%，60%和90%各点拟合校准曲线。规范中校准方法如下:</w:t>
      </w:r>
    </w:p>
    <w:p w14:paraId="4239193F">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系统校准零点和量程点后，分别通入约为测量量程30%，60%和90%标准气体，每种浓度的标准气体通入3次，按照(1)式计算3次示值的算术平均值。以标准气体浓度对仪器示值按最小二乘法进行线性拟合，按(6)式分别计算不同浓度值得线性</w:t>
      </w:r>
      <w:r>
        <w:rPr>
          <w:rFonts w:hint="eastAsia" w:ascii="Times New Roman" w:hAnsi="Times New Roman" w:cs="Times New Roman"/>
          <w:color w:val="auto"/>
          <w:spacing w:val="2"/>
          <w:kern w:val="0"/>
          <w:sz w:val="24"/>
          <w:szCs w:val="21"/>
          <w:lang w:val="en-US" w:eastAsia="zh-CN" w:bidi="ar-SA"/>
        </w:rPr>
        <w:t>度</w:t>
      </w:r>
      <w:r>
        <w:rPr>
          <w:rFonts w:hint="eastAsia" w:ascii="Times New Roman" w:hAnsi="Times New Roman" w:eastAsia="SimSun" w:cs="Times New Roman"/>
          <w:color w:val="auto"/>
          <w:spacing w:val="2"/>
          <w:kern w:val="0"/>
          <w:sz w:val="24"/>
          <w:szCs w:val="21"/>
          <w:lang w:val="en-US" w:eastAsia="zh-CN" w:bidi="ar-SA"/>
        </w:rPr>
        <w:t>，取绝对值最大的值作为测量系统线性</w:t>
      </w:r>
      <w:r>
        <w:rPr>
          <w:rFonts w:hint="eastAsia" w:ascii="Times New Roman" w:hAnsi="Times New Roman" w:cs="Times New Roman"/>
          <w:color w:val="auto"/>
          <w:spacing w:val="2"/>
          <w:kern w:val="0"/>
          <w:sz w:val="24"/>
          <w:szCs w:val="21"/>
          <w:lang w:val="en-US" w:eastAsia="zh-CN" w:bidi="ar-SA"/>
        </w:rPr>
        <w:t>度</w:t>
      </w:r>
      <w:r>
        <w:rPr>
          <w:rFonts w:hint="eastAsia" w:ascii="Times New Roman" w:hAnsi="Times New Roman" w:eastAsia="SimSun" w:cs="Times New Roman"/>
          <w:color w:val="auto"/>
          <w:spacing w:val="2"/>
          <w:kern w:val="0"/>
          <w:sz w:val="24"/>
          <w:szCs w:val="21"/>
          <w:lang w:val="en-US" w:eastAsia="zh-CN" w:bidi="ar-SA"/>
        </w:rPr>
        <w:t>。</w:t>
      </w:r>
    </w:p>
    <w:p w14:paraId="7D3A6B5A">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由</w:t>
      </w:r>
      <w:r>
        <w:rPr>
          <w:rFonts w:hint="eastAsia" w:ascii="Times New Roman" w:hAnsi="Times New Roman" w:eastAsia="SimSun" w:cs="Times New Roman"/>
          <w:color w:val="auto"/>
          <w:spacing w:val="2"/>
          <w:kern w:val="0"/>
          <w:sz w:val="24"/>
          <w:szCs w:val="21"/>
          <w:lang w:val="en-US" w:eastAsia="zh-CN" w:bidi="ar-SA"/>
        </w:rPr>
        <w:object>
          <v:shape id="_x0000_i1031" o:spt="75" type="#_x0000_t75" style="height:20pt;width:13.95pt;" o:ole="t" filled="f" o:preferrelative="t" stroked="f" coordsize="21600,21600">
            <v:path/>
            <v:fill on="f" focussize="0,0"/>
            <v:stroke on="f"/>
            <v:imagedata r:id="rId21" o:title=""/>
            <o:lock v:ext="edit" aspectratio="f"/>
            <w10:wrap type="none"/>
            <w10:anchorlock/>
          </v:shape>
          <o:OLEObject Type="Embed" ProgID="Equation.DSMT4" ShapeID="_x0000_i1031" DrawAspect="Content" ObjectID="_1468075731" r:id="rId20">
            <o:LockedField>false</o:LockedField>
          </o:OLEObject>
        </w:object>
      </w:r>
      <w:r>
        <w:rPr>
          <w:rFonts w:hint="eastAsia" w:ascii="Times New Roman" w:hAnsi="Times New Roman" w:eastAsia="SimSun" w:cs="Times New Roman"/>
          <w:color w:val="auto"/>
          <w:spacing w:val="2"/>
          <w:kern w:val="0"/>
          <w:sz w:val="24"/>
          <w:szCs w:val="21"/>
          <w:lang w:val="en-US" w:eastAsia="zh-CN" w:bidi="ar-SA"/>
        </w:rPr>
        <w:t>为纵坐标，</w:t>
      </w:r>
      <w:r>
        <w:rPr>
          <w:rFonts w:hint="eastAsia" w:ascii="Times New Roman" w:hAnsi="Times New Roman" w:eastAsia="SimSun" w:cs="Times New Roman"/>
          <w:color w:val="auto"/>
          <w:spacing w:val="2"/>
          <w:kern w:val="0"/>
          <w:sz w:val="24"/>
          <w:szCs w:val="21"/>
          <w:lang w:val="en-US" w:eastAsia="zh-CN" w:bidi="ar-SA"/>
        </w:rPr>
        <w:object>
          <v:shape id="_x0000_i1032" o:spt="75" type="#_x0000_t75" style="height:18pt;width:13pt;" o:ole="t" filled="f" o:preferrelative="t" stroked="f" coordsize="21600,21600">
            <v:path/>
            <v:fill on="f" focussize="0,0"/>
            <v:stroke on="f"/>
            <v:imagedata r:id="rId23" o:title=""/>
            <o:lock v:ext="edit" aspectratio="f"/>
            <w10:wrap type="none"/>
            <w10:anchorlock/>
          </v:shape>
          <o:OLEObject Type="Embed" ProgID="Equation.DSMT4" ShapeID="_x0000_i1032" DrawAspect="Content" ObjectID="_1468075732" r:id="rId22">
            <o:LockedField>false</o:LockedField>
          </o:OLEObject>
        </w:object>
      </w:r>
      <w:r>
        <w:rPr>
          <w:rFonts w:hint="eastAsia" w:ascii="Times New Roman" w:hAnsi="Times New Roman" w:eastAsia="SimSun" w:cs="Times New Roman"/>
          <w:color w:val="auto"/>
          <w:spacing w:val="2"/>
          <w:kern w:val="0"/>
          <w:sz w:val="24"/>
          <w:szCs w:val="21"/>
          <w:lang w:val="en-US" w:eastAsia="zh-CN" w:bidi="ar-SA"/>
        </w:rPr>
        <w:t>为横坐标所确定的曲线称为测量系统的线性拟合曲线。</w:t>
      </w:r>
    </w:p>
    <w:p w14:paraId="57556225">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测量系统的参比直线采用最小二乘法线性回归直线，线性方程为:</w:t>
      </w:r>
    </w:p>
    <w:p w14:paraId="5DDE536E">
      <w:pPr>
        <w:snapToGrid w:val="0"/>
        <w:ind w:left="420" w:leftChars="200" w:firstLine="0"/>
        <w:jc w:val="right"/>
        <w:rPr>
          <w:rFonts w:ascii="SimSun" w:hAnsi="SimSun"/>
        </w:rPr>
      </w:pPr>
      <w:r>
        <w:rPr>
          <w:rFonts w:hint="eastAsia" w:ascii="SimSun" w:hAnsi="SimSun"/>
        </w:rPr>
        <w:object>
          <v:shape id="_x0000_i1033" o:spt="75" type="#_x0000_t75" style="height:17.85pt;width:59.8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hint="eastAsia" w:ascii="SimSun" w:hAnsi="SimSun"/>
        </w:rPr>
        <w:t xml:space="preserve">                        （</w:t>
      </w:r>
      <w:r>
        <w:rPr>
          <w:rFonts w:hint="eastAsia" w:ascii="SimSun" w:hAnsi="SimSun"/>
          <w:lang w:val="en-US" w:eastAsia="zh-CN"/>
        </w:rPr>
        <w:t>3</w:t>
      </w:r>
      <w:r>
        <w:rPr>
          <w:rFonts w:hint="eastAsia" w:ascii="SimSun" w:hAnsi="SimSun"/>
        </w:rPr>
        <w:t>）</w:t>
      </w:r>
    </w:p>
    <w:p w14:paraId="7ED1CEDF">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灵敏度B及截距A公式如下:</w:t>
      </w:r>
    </w:p>
    <w:p w14:paraId="1BDC2567">
      <w:pPr>
        <w:pStyle w:val="40"/>
        <w:ind w:firstLine="420"/>
        <w:jc w:val="right"/>
        <w:rPr>
          <w:spacing w:val="2"/>
          <w:position w:val="-24"/>
        </w:rPr>
      </w:pPr>
      <w:r>
        <w:rPr>
          <w:rFonts w:hint="eastAsia"/>
          <w:spacing w:val="2"/>
          <w:position w:val="-60"/>
        </w:rPr>
        <w:object>
          <v:shape id="_x0000_i1034" o:spt="75" type="#_x0000_t75" style="height:65.45pt;width:126.7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hint="eastAsia"/>
          <w:spacing w:val="2"/>
          <w:position w:val="-24"/>
        </w:rPr>
        <w:t xml:space="preserve">                  （</w:t>
      </w:r>
      <w:r>
        <w:rPr>
          <w:rFonts w:hint="eastAsia"/>
          <w:spacing w:val="2"/>
          <w:position w:val="-24"/>
          <w:lang w:val="en-US" w:eastAsia="zh-CN"/>
        </w:rPr>
        <w:t>4</w:t>
      </w:r>
      <w:r>
        <w:rPr>
          <w:rFonts w:hint="eastAsia"/>
          <w:spacing w:val="2"/>
          <w:position w:val="-24"/>
        </w:rPr>
        <w:t>）</w:t>
      </w:r>
    </w:p>
    <w:p w14:paraId="0FB70AFF">
      <w:pPr>
        <w:pStyle w:val="40"/>
        <w:ind w:firstLine="420"/>
        <w:jc w:val="right"/>
        <w:rPr>
          <w:rFonts w:hAnsi="SimSun" w:cs="Microsoft YaHei"/>
          <w:color w:val="000000"/>
          <w:kern w:val="2"/>
          <w:sz w:val="24"/>
          <w:szCs w:val="22"/>
        </w:rPr>
      </w:pPr>
      <w:r>
        <w:rPr>
          <w:rFonts w:hint="eastAsia"/>
          <w:spacing w:val="2"/>
          <w:position w:val="-60"/>
        </w:rPr>
        <w:object>
          <v:shape id="_x0000_i1035" o:spt="75" type="#_x0000_t75" style="height:65.45pt;width:147.7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hint="eastAsia"/>
          <w:spacing w:val="2"/>
          <w:position w:val="-24"/>
        </w:rPr>
        <w:t xml:space="preserve">                （</w:t>
      </w:r>
      <w:r>
        <w:rPr>
          <w:rFonts w:hint="eastAsia"/>
          <w:spacing w:val="2"/>
          <w:position w:val="-24"/>
          <w:lang w:val="en-US" w:eastAsia="zh-CN"/>
        </w:rPr>
        <w:t>5</w:t>
      </w:r>
      <w:r>
        <w:rPr>
          <w:rFonts w:hint="eastAsia"/>
          <w:spacing w:val="2"/>
          <w:position w:val="-24"/>
        </w:rPr>
        <w:t>）</w:t>
      </w:r>
    </w:p>
    <w:p w14:paraId="209DB994">
      <w:pPr>
        <w:snapToGrid w:val="0"/>
        <w:ind w:left="420" w:leftChars="200" w:firstLine="0"/>
        <w:jc w:val="right"/>
        <w:rPr>
          <w:rFonts w:ascii="SimSun" w:hAnsi="SimSun"/>
        </w:rPr>
      </w:pPr>
      <w:r>
        <w:rPr>
          <w:rFonts w:hint="eastAsia" w:ascii="SimSun" w:hAnsi="SimSun"/>
          <w:position w:val="-24"/>
        </w:rPr>
        <w:object>
          <v:shape id="_x0000_i1036" o:spt="75" type="#_x0000_t75" style="height:33.7pt;width:98.65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rFonts w:hint="eastAsia" w:ascii="SimSun" w:hAnsi="SimSun"/>
        </w:rPr>
        <w:t xml:space="preserve">                 （</w:t>
      </w:r>
      <w:r>
        <w:rPr>
          <w:rFonts w:hint="eastAsia" w:ascii="SimSun" w:hAnsi="SimSun"/>
          <w:lang w:val="en-US" w:eastAsia="zh-CN"/>
        </w:rPr>
        <w:t>6</w:t>
      </w:r>
      <w:r>
        <w:rPr>
          <w:rFonts w:hint="eastAsia" w:ascii="SimSun" w:hAnsi="SimSun"/>
        </w:rPr>
        <w:t>）</w:t>
      </w:r>
    </w:p>
    <w:p w14:paraId="25A5588E">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式中：</w:t>
      </w:r>
    </w:p>
    <w:p w14:paraId="5B9C8367">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37" o:spt="75" type="#_x0000_t75" style="height:18pt;width:11pt;" o:ole="t" filled="f" o:preferrelative="t" stroked="f" coordsize="21600,21600">
            <v:path/>
            <v:fill on="f" focussize="0,0"/>
            <v:stroke on="f" joinstyle="miter"/>
            <v:imagedata r:id="rId33" o:title=""/>
            <o:lock v:ext="edit" aspectratio="f"/>
            <w10:wrap type="none"/>
            <w10:anchorlock/>
          </v:shape>
          <o:OLEObject Type="Embed" ProgID="Equation.DSMT4" ShapeID="_x0000_i1037" DrawAspect="Content" ObjectID="_1468075737" r:id="rId32">
            <o:LockedField>false</o:LockedField>
          </o:OLEObject>
        </w:object>
      </w:r>
      <w:r>
        <w:rPr>
          <w:rFonts w:hint="eastAsia"/>
          <w:bCs/>
          <w:color w:val="000000"/>
          <w:sz w:val="24"/>
          <w:lang w:val="en-US" w:eastAsia="zh-CN"/>
        </w:rPr>
        <w:t xml:space="preserve"> ——测量系统在第i种浓度标准气体点的线性回归值，μmol/mol；</w:t>
      </w:r>
    </w:p>
    <w:p w14:paraId="01B6F2AD">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A  ——测量系统的截距，μmol/mol；</w:t>
      </w:r>
    </w:p>
    <w:p w14:paraId="06B644B4">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B  ——测量系统的线性回归灵敏度；</w:t>
      </w:r>
    </w:p>
    <w:p w14:paraId="23AD6768">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default" w:ascii="Times New Roman" w:hAnsi="Times New Roman" w:cs="Times New Roman"/>
          <w:color w:val="auto"/>
          <w:spacing w:val="2"/>
          <w:kern w:val="0"/>
          <w:sz w:val="24"/>
          <w:szCs w:val="21"/>
          <w:lang w:val="en-US" w:eastAsia="zh-CN" w:bidi="ar-SA"/>
        </w:rPr>
      </w:pPr>
      <w:r>
        <w:rPr>
          <w:rFonts w:hint="eastAsia"/>
          <w:bCs/>
          <w:color w:val="000000"/>
          <w:position w:val="-12"/>
          <w:sz w:val="24"/>
          <w:lang w:val="en-US" w:eastAsia="zh-CN"/>
        </w:rPr>
        <w:object>
          <v:shape id="_x0000_i1038" o:spt="75" type="#_x0000_t75" style="height:18pt;width:19pt;" o:ole="t" filled="f" o:preferrelative="t" stroked="f" coordsize="21600,21600">
            <v:path/>
            <v:fill on="f" focussize="0,0"/>
            <v:stroke on="f"/>
            <v:imagedata r:id="rId35" o:title=""/>
            <o:lock v:ext="edit" aspectratio="f"/>
            <w10:wrap type="none"/>
            <w10:anchorlock/>
          </v:shape>
          <o:OLEObject Type="Embed" ProgID="Equation.DSMT4" ShapeID="_x0000_i1038" DrawAspect="Content" ObjectID="_1468075738" r:id="rId34">
            <o:LockedField>false</o:LockedField>
          </o:OLEObject>
        </w:object>
      </w:r>
      <w:r>
        <w:rPr>
          <w:rFonts w:hint="eastAsia"/>
          <w:bCs/>
          <w:color w:val="000000"/>
          <w:sz w:val="24"/>
          <w:lang w:val="en-US" w:eastAsia="zh-CN"/>
        </w:rPr>
        <w:t>——测量系统各浓度测试点的线性度，%FS。</w:t>
      </w:r>
    </w:p>
    <w:p w14:paraId="1A9B4713">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7.6 重复性</w:t>
      </w:r>
    </w:p>
    <w:p w14:paraId="1C9297B0">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default" w:ascii="Times New Roman" w:hAnsi="Times New Roman" w:eastAsia="SimSun" w:cs="Times New Roman"/>
          <w:color w:val="auto"/>
          <w:spacing w:val="2"/>
          <w:kern w:val="0"/>
          <w:sz w:val="24"/>
          <w:szCs w:val="21"/>
          <w:lang w:val="en-US" w:eastAsia="zh-CN" w:bidi="ar-SA"/>
        </w:rPr>
        <w:t>重复性校准方法与JJG 693—2011《可燃气体检测报警器检定规程》、JJF 1585—2016《固定污染源烟气排放连续监测系统校准规范》、JJF 1907—2021《环境空气在线监测气体分析仪校准规范》等标准基本一致，数据处理方式分为绝对误差和引用误差两种。分别选取满量程30%、60%、90%三个浓度点开展重复性试验，</w:t>
      </w:r>
      <w:r>
        <w:rPr>
          <w:rFonts w:hint="eastAsia" w:ascii="Times New Roman" w:hAnsi="Times New Roman" w:eastAsia="SimSun" w:cs="Times New Roman"/>
          <w:color w:val="auto"/>
          <w:spacing w:val="2"/>
          <w:kern w:val="0"/>
          <w:sz w:val="24"/>
          <w:szCs w:val="21"/>
          <w:lang w:val="en-US" w:eastAsia="zh-CN" w:bidi="ar-SA"/>
        </w:rPr>
        <w:t>数据见表2，</w:t>
      </w:r>
      <w:r>
        <w:rPr>
          <w:rFonts w:hint="default" w:ascii="Times New Roman" w:hAnsi="Times New Roman" w:eastAsia="SimSun" w:cs="Times New Roman"/>
          <w:color w:val="auto"/>
          <w:spacing w:val="2"/>
          <w:kern w:val="0"/>
          <w:sz w:val="24"/>
          <w:szCs w:val="21"/>
          <w:lang w:val="en-US" w:eastAsia="zh-CN" w:bidi="ar-SA"/>
        </w:rPr>
        <w:t>发现重复性在60%点处最高，现有计量技术规范通常选取中间点开展重复性</w:t>
      </w:r>
      <w:r>
        <w:rPr>
          <w:rFonts w:hint="eastAsia" w:ascii="Times New Roman" w:hAnsi="Times New Roman" w:eastAsia="SimSun" w:cs="Times New Roman"/>
          <w:color w:val="auto"/>
          <w:spacing w:val="2"/>
          <w:kern w:val="0"/>
          <w:sz w:val="24"/>
          <w:szCs w:val="21"/>
          <w:lang w:val="en-US" w:eastAsia="zh-CN" w:bidi="ar-SA"/>
        </w:rPr>
        <w:t>，</w:t>
      </w:r>
      <w:r>
        <w:rPr>
          <w:rFonts w:hint="default" w:ascii="Times New Roman" w:hAnsi="Times New Roman" w:eastAsia="SimSun" w:cs="Times New Roman"/>
          <w:color w:val="auto"/>
          <w:spacing w:val="2"/>
          <w:kern w:val="0"/>
          <w:sz w:val="24"/>
          <w:szCs w:val="21"/>
          <w:lang w:val="en-US" w:eastAsia="zh-CN" w:bidi="ar-SA"/>
        </w:rPr>
        <w:t>所以选取60%浓度点。</w:t>
      </w:r>
    </w:p>
    <w:p w14:paraId="47F78136">
      <w:pPr>
        <w:pStyle w:val="6"/>
        <w:jc w:val="center"/>
        <w:rPr>
          <w:rFonts w:hint="eastAsia" w:ascii="Times New Roman" w:hAnsi="Times New Roman" w:eastAsia="SimSun" w:cs="Times New Roman"/>
          <w:color w:val="auto"/>
          <w:spacing w:val="2"/>
          <w:kern w:val="0"/>
          <w:sz w:val="24"/>
          <w:szCs w:val="21"/>
          <w:lang w:val="en-US" w:eastAsia="zh-CN" w:bidi="ar-SA"/>
        </w:rPr>
      </w:pPr>
      <w:r>
        <w:rPr>
          <w:rFonts w:ascii="SimHei" w:hAnsi="SimHei"/>
          <w:sz w:val="21"/>
          <w:szCs w:val="21"/>
        </w:rPr>
        <w:t xml:space="preserve">表 </w:t>
      </w:r>
      <w:r>
        <w:rPr>
          <w:rFonts w:hint="eastAsia" w:ascii="SimHei" w:hAnsi="SimHei"/>
          <w:sz w:val="21"/>
          <w:szCs w:val="21"/>
          <w:lang w:val="en-US" w:eastAsia="zh-CN"/>
        </w:rPr>
        <w:t>2重复性校准数据</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
        <w:gridCol w:w="795"/>
        <w:gridCol w:w="795"/>
        <w:gridCol w:w="795"/>
        <w:gridCol w:w="795"/>
        <w:gridCol w:w="795"/>
        <w:gridCol w:w="795"/>
        <w:gridCol w:w="1194"/>
        <w:gridCol w:w="1153"/>
      </w:tblGrid>
      <w:tr w14:paraId="28BF4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827" w:type="pct"/>
            <w:vMerge w:val="restart"/>
            <w:noWrap w:val="0"/>
            <w:vAlign w:val="center"/>
          </w:tcPr>
          <w:p w14:paraId="075F8F63">
            <w:pPr>
              <w:spacing w:line="240" w:lineRule="exact"/>
              <w:jc w:val="center"/>
              <w:rPr>
                <w:szCs w:val="21"/>
              </w:rPr>
            </w:pPr>
            <w:r>
              <w:rPr>
                <w:szCs w:val="21"/>
              </w:rPr>
              <w:t>标准气体浓度</w:t>
            </w:r>
          </w:p>
          <w:p w14:paraId="32B82246">
            <w:pPr>
              <w:spacing w:line="240" w:lineRule="exact"/>
              <w:jc w:val="center"/>
              <w:rPr>
                <w:szCs w:val="21"/>
              </w:rPr>
            </w:pPr>
            <w:r>
              <w:rPr>
                <w:szCs w:val="21"/>
              </w:rPr>
              <w:t>(μmol/mol)</w:t>
            </w:r>
          </w:p>
        </w:tc>
        <w:tc>
          <w:tcPr>
            <w:tcW w:w="2813" w:type="pct"/>
            <w:gridSpan w:val="6"/>
            <w:noWrap w:val="0"/>
            <w:vAlign w:val="center"/>
          </w:tcPr>
          <w:p w14:paraId="205C2BF5">
            <w:pPr>
              <w:spacing w:line="240" w:lineRule="exact"/>
              <w:jc w:val="center"/>
              <w:rPr>
                <w:szCs w:val="21"/>
              </w:rPr>
            </w:pPr>
            <w:r>
              <w:rPr>
                <w:szCs w:val="21"/>
              </w:rPr>
              <w:t>仪器测量值(ppmC)</w:t>
            </w:r>
          </w:p>
        </w:tc>
        <w:tc>
          <w:tcPr>
            <w:tcW w:w="680" w:type="pct"/>
            <w:vMerge w:val="restart"/>
            <w:noWrap w:val="0"/>
            <w:vAlign w:val="center"/>
          </w:tcPr>
          <w:p w14:paraId="28B61072">
            <w:pPr>
              <w:spacing w:line="240" w:lineRule="exact"/>
              <w:jc w:val="center"/>
              <w:rPr>
                <w:szCs w:val="21"/>
              </w:rPr>
            </w:pPr>
            <w:r>
              <w:rPr>
                <w:szCs w:val="21"/>
              </w:rPr>
              <w:t>标准偏差</w:t>
            </w:r>
          </w:p>
          <w:p w14:paraId="663CA94C">
            <w:pPr>
              <w:spacing w:line="240" w:lineRule="exact"/>
              <w:jc w:val="center"/>
              <w:rPr>
                <w:szCs w:val="21"/>
              </w:rPr>
            </w:pPr>
            <w:r>
              <w:rPr>
                <w:szCs w:val="21"/>
              </w:rPr>
              <w:t>(μmol/mol)</w:t>
            </w:r>
          </w:p>
        </w:tc>
        <w:tc>
          <w:tcPr>
            <w:tcW w:w="680" w:type="pct"/>
            <w:vMerge w:val="restart"/>
            <w:noWrap w:val="0"/>
            <w:vAlign w:val="center"/>
          </w:tcPr>
          <w:p w14:paraId="15506BFB">
            <w:pPr>
              <w:spacing w:line="240" w:lineRule="exact"/>
              <w:jc w:val="center"/>
              <w:rPr>
                <w:szCs w:val="21"/>
              </w:rPr>
            </w:pPr>
            <w:r>
              <w:rPr>
                <w:szCs w:val="21"/>
              </w:rPr>
              <w:t>重复性</w:t>
            </w:r>
          </w:p>
          <w:p w14:paraId="2F191CB0">
            <w:pPr>
              <w:spacing w:line="240" w:lineRule="exact"/>
              <w:jc w:val="center"/>
              <w:rPr>
                <w:szCs w:val="21"/>
              </w:rPr>
            </w:pPr>
            <w:r>
              <w:rPr>
                <w:szCs w:val="21"/>
              </w:rPr>
              <w:t>（%FS）</w:t>
            </w:r>
          </w:p>
        </w:tc>
      </w:tr>
      <w:tr w14:paraId="150D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827" w:type="pct"/>
            <w:vMerge w:val="continue"/>
            <w:noWrap w:val="0"/>
            <w:vAlign w:val="bottom"/>
          </w:tcPr>
          <w:p w14:paraId="7C37664C">
            <w:pPr>
              <w:spacing w:line="240" w:lineRule="exact"/>
              <w:jc w:val="center"/>
              <w:rPr>
                <w:szCs w:val="21"/>
              </w:rPr>
            </w:pPr>
          </w:p>
        </w:tc>
        <w:tc>
          <w:tcPr>
            <w:tcW w:w="469" w:type="pct"/>
            <w:noWrap w:val="0"/>
            <w:vAlign w:val="bottom"/>
          </w:tcPr>
          <w:p w14:paraId="225DB0D9">
            <w:pPr>
              <w:spacing w:line="240" w:lineRule="exact"/>
              <w:jc w:val="center"/>
              <w:rPr>
                <w:szCs w:val="21"/>
              </w:rPr>
            </w:pPr>
            <w:r>
              <w:rPr>
                <w:szCs w:val="21"/>
              </w:rPr>
              <w:t>1#</w:t>
            </w:r>
          </w:p>
        </w:tc>
        <w:tc>
          <w:tcPr>
            <w:tcW w:w="469" w:type="pct"/>
            <w:noWrap w:val="0"/>
            <w:vAlign w:val="bottom"/>
          </w:tcPr>
          <w:p w14:paraId="74547974">
            <w:pPr>
              <w:spacing w:line="240" w:lineRule="exact"/>
              <w:jc w:val="center"/>
              <w:rPr>
                <w:szCs w:val="21"/>
              </w:rPr>
            </w:pPr>
            <w:r>
              <w:rPr>
                <w:szCs w:val="21"/>
              </w:rPr>
              <w:t>2#</w:t>
            </w:r>
          </w:p>
        </w:tc>
        <w:tc>
          <w:tcPr>
            <w:tcW w:w="469" w:type="pct"/>
            <w:noWrap w:val="0"/>
            <w:vAlign w:val="bottom"/>
          </w:tcPr>
          <w:p w14:paraId="01F391FB">
            <w:pPr>
              <w:spacing w:line="240" w:lineRule="exact"/>
              <w:jc w:val="center"/>
              <w:rPr>
                <w:szCs w:val="21"/>
              </w:rPr>
            </w:pPr>
            <w:r>
              <w:rPr>
                <w:szCs w:val="21"/>
              </w:rPr>
              <w:t>3#</w:t>
            </w:r>
          </w:p>
        </w:tc>
        <w:tc>
          <w:tcPr>
            <w:tcW w:w="469" w:type="pct"/>
            <w:noWrap w:val="0"/>
            <w:vAlign w:val="bottom"/>
          </w:tcPr>
          <w:p w14:paraId="3D190141">
            <w:pPr>
              <w:spacing w:line="240" w:lineRule="exact"/>
              <w:jc w:val="center"/>
              <w:rPr>
                <w:szCs w:val="21"/>
              </w:rPr>
            </w:pPr>
            <w:r>
              <w:rPr>
                <w:szCs w:val="21"/>
              </w:rPr>
              <w:t>4#</w:t>
            </w:r>
          </w:p>
        </w:tc>
        <w:tc>
          <w:tcPr>
            <w:tcW w:w="469" w:type="pct"/>
            <w:noWrap w:val="0"/>
            <w:vAlign w:val="bottom"/>
          </w:tcPr>
          <w:p w14:paraId="67609FE4">
            <w:pPr>
              <w:spacing w:line="240" w:lineRule="exact"/>
              <w:jc w:val="center"/>
              <w:rPr>
                <w:szCs w:val="21"/>
              </w:rPr>
            </w:pPr>
            <w:r>
              <w:rPr>
                <w:szCs w:val="21"/>
              </w:rPr>
              <w:t>5#</w:t>
            </w:r>
          </w:p>
        </w:tc>
        <w:tc>
          <w:tcPr>
            <w:tcW w:w="469" w:type="pct"/>
            <w:noWrap w:val="0"/>
            <w:vAlign w:val="bottom"/>
          </w:tcPr>
          <w:p w14:paraId="79667477">
            <w:pPr>
              <w:spacing w:line="240" w:lineRule="exact"/>
              <w:jc w:val="center"/>
              <w:rPr>
                <w:szCs w:val="21"/>
              </w:rPr>
            </w:pPr>
            <w:r>
              <w:rPr>
                <w:szCs w:val="21"/>
              </w:rPr>
              <w:t>6#</w:t>
            </w:r>
          </w:p>
        </w:tc>
        <w:tc>
          <w:tcPr>
            <w:tcW w:w="680" w:type="pct"/>
            <w:vMerge w:val="continue"/>
            <w:noWrap w:val="0"/>
            <w:vAlign w:val="bottom"/>
          </w:tcPr>
          <w:p w14:paraId="40F4110D">
            <w:pPr>
              <w:spacing w:line="240" w:lineRule="exact"/>
              <w:jc w:val="center"/>
              <w:rPr>
                <w:szCs w:val="21"/>
              </w:rPr>
            </w:pPr>
          </w:p>
        </w:tc>
        <w:tc>
          <w:tcPr>
            <w:tcW w:w="680" w:type="pct"/>
            <w:vMerge w:val="continue"/>
            <w:noWrap w:val="0"/>
            <w:vAlign w:val="bottom"/>
          </w:tcPr>
          <w:p w14:paraId="10637D57">
            <w:pPr>
              <w:spacing w:line="240" w:lineRule="exact"/>
              <w:jc w:val="center"/>
              <w:rPr>
                <w:szCs w:val="21"/>
              </w:rPr>
            </w:pPr>
          </w:p>
        </w:tc>
      </w:tr>
      <w:tr w14:paraId="6433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827" w:type="pct"/>
            <w:noWrap w:val="0"/>
            <w:vAlign w:val="center"/>
          </w:tcPr>
          <w:p w14:paraId="71AE7588">
            <w:pPr>
              <w:spacing w:line="240" w:lineRule="exact"/>
              <w:jc w:val="center"/>
              <w:rPr>
                <w:szCs w:val="21"/>
              </w:rPr>
            </w:pPr>
            <w:r>
              <w:rPr>
                <w:szCs w:val="21"/>
              </w:rPr>
              <w:t>9.98</w:t>
            </w:r>
          </w:p>
        </w:tc>
        <w:tc>
          <w:tcPr>
            <w:tcW w:w="469" w:type="pct"/>
            <w:noWrap w:val="0"/>
            <w:vAlign w:val="center"/>
          </w:tcPr>
          <w:p w14:paraId="097DB2F7">
            <w:pPr>
              <w:spacing w:line="240" w:lineRule="exact"/>
              <w:jc w:val="center"/>
              <w:rPr>
                <w:szCs w:val="21"/>
              </w:rPr>
            </w:pPr>
            <w:r>
              <w:rPr>
                <w:szCs w:val="21"/>
              </w:rPr>
              <w:t>29.96</w:t>
            </w:r>
          </w:p>
        </w:tc>
        <w:tc>
          <w:tcPr>
            <w:tcW w:w="469" w:type="pct"/>
            <w:noWrap w:val="0"/>
            <w:vAlign w:val="center"/>
          </w:tcPr>
          <w:p w14:paraId="41D799D9">
            <w:pPr>
              <w:spacing w:line="240" w:lineRule="exact"/>
              <w:jc w:val="center"/>
              <w:rPr>
                <w:szCs w:val="21"/>
              </w:rPr>
            </w:pPr>
            <w:r>
              <w:rPr>
                <w:szCs w:val="21"/>
              </w:rPr>
              <w:t>29.82</w:t>
            </w:r>
          </w:p>
        </w:tc>
        <w:tc>
          <w:tcPr>
            <w:tcW w:w="469" w:type="pct"/>
            <w:noWrap w:val="0"/>
            <w:vAlign w:val="center"/>
          </w:tcPr>
          <w:p w14:paraId="76B755C0">
            <w:pPr>
              <w:spacing w:line="240" w:lineRule="exact"/>
              <w:jc w:val="center"/>
              <w:rPr>
                <w:szCs w:val="21"/>
              </w:rPr>
            </w:pPr>
            <w:r>
              <w:rPr>
                <w:szCs w:val="21"/>
              </w:rPr>
              <w:t>29.88</w:t>
            </w:r>
          </w:p>
        </w:tc>
        <w:tc>
          <w:tcPr>
            <w:tcW w:w="469" w:type="pct"/>
            <w:noWrap w:val="0"/>
            <w:vAlign w:val="center"/>
          </w:tcPr>
          <w:p w14:paraId="42B5E8D4">
            <w:pPr>
              <w:spacing w:line="240" w:lineRule="exact"/>
              <w:jc w:val="center"/>
              <w:rPr>
                <w:szCs w:val="21"/>
              </w:rPr>
            </w:pPr>
            <w:r>
              <w:rPr>
                <w:szCs w:val="21"/>
              </w:rPr>
              <w:t xml:space="preserve">29.73 </w:t>
            </w:r>
          </w:p>
        </w:tc>
        <w:tc>
          <w:tcPr>
            <w:tcW w:w="469" w:type="pct"/>
            <w:noWrap w:val="0"/>
            <w:vAlign w:val="center"/>
          </w:tcPr>
          <w:p w14:paraId="21F208B5">
            <w:pPr>
              <w:spacing w:line="240" w:lineRule="exact"/>
              <w:jc w:val="center"/>
              <w:rPr>
                <w:szCs w:val="21"/>
              </w:rPr>
            </w:pPr>
            <w:r>
              <w:rPr>
                <w:szCs w:val="21"/>
              </w:rPr>
              <w:t xml:space="preserve">29.88 </w:t>
            </w:r>
          </w:p>
        </w:tc>
        <w:tc>
          <w:tcPr>
            <w:tcW w:w="469" w:type="pct"/>
            <w:noWrap w:val="0"/>
            <w:vAlign w:val="center"/>
          </w:tcPr>
          <w:p w14:paraId="1C447B6D">
            <w:pPr>
              <w:spacing w:line="240" w:lineRule="exact"/>
              <w:jc w:val="center"/>
              <w:rPr>
                <w:szCs w:val="21"/>
              </w:rPr>
            </w:pPr>
            <w:r>
              <w:rPr>
                <w:szCs w:val="21"/>
              </w:rPr>
              <w:t xml:space="preserve">29.73 </w:t>
            </w:r>
          </w:p>
        </w:tc>
        <w:tc>
          <w:tcPr>
            <w:tcW w:w="680" w:type="pct"/>
            <w:noWrap w:val="0"/>
            <w:vAlign w:val="center"/>
          </w:tcPr>
          <w:p w14:paraId="537A674D">
            <w:pPr>
              <w:spacing w:line="240" w:lineRule="exact"/>
              <w:jc w:val="center"/>
              <w:rPr>
                <w:szCs w:val="21"/>
              </w:rPr>
            </w:pPr>
            <w:r>
              <w:rPr>
                <w:rFonts w:eastAsia="DengXian"/>
                <w:sz w:val="22"/>
                <w:szCs w:val="22"/>
              </w:rPr>
              <w:t xml:space="preserve">0.09 </w:t>
            </w:r>
          </w:p>
        </w:tc>
        <w:tc>
          <w:tcPr>
            <w:tcW w:w="680" w:type="pct"/>
            <w:noWrap w:val="0"/>
            <w:vAlign w:val="center"/>
          </w:tcPr>
          <w:p w14:paraId="5C3281F1">
            <w:pPr>
              <w:spacing w:line="240" w:lineRule="exact"/>
              <w:jc w:val="center"/>
              <w:rPr>
                <w:szCs w:val="21"/>
              </w:rPr>
            </w:pPr>
            <w:r>
              <w:rPr>
                <w:rFonts w:eastAsia="DengXian"/>
                <w:sz w:val="22"/>
                <w:szCs w:val="22"/>
              </w:rPr>
              <w:t>0.09%</w:t>
            </w:r>
          </w:p>
        </w:tc>
      </w:tr>
      <w:tr w14:paraId="103E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827" w:type="pct"/>
            <w:noWrap w:val="0"/>
            <w:vAlign w:val="center"/>
          </w:tcPr>
          <w:p w14:paraId="3EF6B04E">
            <w:pPr>
              <w:spacing w:line="240" w:lineRule="exact"/>
              <w:jc w:val="center"/>
              <w:rPr>
                <w:szCs w:val="21"/>
              </w:rPr>
            </w:pPr>
            <w:r>
              <w:rPr>
                <w:szCs w:val="21"/>
              </w:rPr>
              <w:t>19.94</w:t>
            </w:r>
          </w:p>
        </w:tc>
        <w:tc>
          <w:tcPr>
            <w:tcW w:w="469" w:type="pct"/>
            <w:noWrap w:val="0"/>
            <w:vAlign w:val="center"/>
          </w:tcPr>
          <w:p w14:paraId="5F4C34CE">
            <w:pPr>
              <w:spacing w:line="240" w:lineRule="exact"/>
              <w:jc w:val="center"/>
              <w:rPr>
                <w:szCs w:val="21"/>
              </w:rPr>
            </w:pPr>
            <w:r>
              <w:rPr>
                <w:szCs w:val="21"/>
              </w:rPr>
              <w:t>59.87</w:t>
            </w:r>
          </w:p>
        </w:tc>
        <w:tc>
          <w:tcPr>
            <w:tcW w:w="469" w:type="pct"/>
            <w:noWrap w:val="0"/>
            <w:vAlign w:val="center"/>
          </w:tcPr>
          <w:p w14:paraId="3AB55E46">
            <w:pPr>
              <w:spacing w:line="240" w:lineRule="exact"/>
              <w:jc w:val="center"/>
              <w:rPr>
                <w:szCs w:val="21"/>
              </w:rPr>
            </w:pPr>
            <w:r>
              <w:rPr>
                <w:szCs w:val="21"/>
              </w:rPr>
              <w:t>59.86</w:t>
            </w:r>
          </w:p>
        </w:tc>
        <w:tc>
          <w:tcPr>
            <w:tcW w:w="469" w:type="pct"/>
            <w:noWrap w:val="0"/>
            <w:vAlign w:val="center"/>
          </w:tcPr>
          <w:p w14:paraId="04367D1D">
            <w:pPr>
              <w:spacing w:line="240" w:lineRule="exact"/>
              <w:jc w:val="center"/>
              <w:rPr>
                <w:szCs w:val="21"/>
              </w:rPr>
            </w:pPr>
            <w:r>
              <w:rPr>
                <w:szCs w:val="21"/>
              </w:rPr>
              <w:t>59.78</w:t>
            </w:r>
          </w:p>
        </w:tc>
        <w:tc>
          <w:tcPr>
            <w:tcW w:w="469" w:type="pct"/>
            <w:noWrap w:val="0"/>
            <w:vAlign w:val="bottom"/>
          </w:tcPr>
          <w:p w14:paraId="27D20D74">
            <w:pPr>
              <w:spacing w:line="240" w:lineRule="exact"/>
              <w:jc w:val="center"/>
              <w:rPr>
                <w:szCs w:val="21"/>
              </w:rPr>
            </w:pPr>
            <w:r>
              <w:rPr>
                <w:szCs w:val="21"/>
              </w:rPr>
              <w:t xml:space="preserve">59.97 </w:t>
            </w:r>
          </w:p>
        </w:tc>
        <w:tc>
          <w:tcPr>
            <w:tcW w:w="469" w:type="pct"/>
            <w:noWrap w:val="0"/>
            <w:vAlign w:val="bottom"/>
          </w:tcPr>
          <w:p w14:paraId="66DE1C3B">
            <w:pPr>
              <w:spacing w:line="240" w:lineRule="exact"/>
              <w:jc w:val="center"/>
              <w:rPr>
                <w:szCs w:val="21"/>
              </w:rPr>
            </w:pPr>
            <w:r>
              <w:rPr>
                <w:szCs w:val="21"/>
              </w:rPr>
              <w:t xml:space="preserve">59.83 </w:t>
            </w:r>
          </w:p>
        </w:tc>
        <w:tc>
          <w:tcPr>
            <w:tcW w:w="469" w:type="pct"/>
            <w:noWrap w:val="0"/>
            <w:vAlign w:val="bottom"/>
          </w:tcPr>
          <w:p w14:paraId="73C06A5D">
            <w:pPr>
              <w:spacing w:line="240" w:lineRule="exact"/>
              <w:jc w:val="center"/>
              <w:rPr>
                <w:szCs w:val="21"/>
              </w:rPr>
            </w:pPr>
            <w:r>
              <w:rPr>
                <w:szCs w:val="21"/>
              </w:rPr>
              <w:t xml:space="preserve">58.77 </w:t>
            </w:r>
          </w:p>
        </w:tc>
        <w:tc>
          <w:tcPr>
            <w:tcW w:w="680" w:type="pct"/>
            <w:noWrap w:val="0"/>
            <w:vAlign w:val="center"/>
          </w:tcPr>
          <w:p w14:paraId="0A5FCC31">
            <w:pPr>
              <w:spacing w:line="240" w:lineRule="exact"/>
              <w:jc w:val="center"/>
              <w:rPr>
                <w:szCs w:val="21"/>
              </w:rPr>
            </w:pPr>
            <w:r>
              <w:rPr>
                <w:rFonts w:eastAsia="DengXian"/>
                <w:sz w:val="22"/>
                <w:szCs w:val="22"/>
              </w:rPr>
              <w:t xml:space="preserve">0.45 </w:t>
            </w:r>
          </w:p>
        </w:tc>
        <w:tc>
          <w:tcPr>
            <w:tcW w:w="680" w:type="pct"/>
            <w:noWrap w:val="0"/>
            <w:vAlign w:val="center"/>
          </w:tcPr>
          <w:p w14:paraId="387471D9">
            <w:pPr>
              <w:spacing w:line="240" w:lineRule="exact"/>
              <w:jc w:val="center"/>
              <w:rPr>
                <w:szCs w:val="21"/>
              </w:rPr>
            </w:pPr>
            <w:r>
              <w:rPr>
                <w:rFonts w:eastAsia="DengXian"/>
                <w:sz w:val="22"/>
                <w:szCs w:val="22"/>
              </w:rPr>
              <w:t>0.45%</w:t>
            </w:r>
          </w:p>
        </w:tc>
      </w:tr>
      <w:tr w14:paraId="4E1E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827" w:type="pct"/>
            <w:noWrap w:val="0"/>
            <w:vAlign w:val="center"/>
          </w:tcPr>
          <w:p w14:paraId="24A0C0DF">
            <w:pPr>
              <w:spacing w:line="240" w:lineRule="exact"/>
              <w:jc w:val="center"/>
              <w:rPr>
                <w:szCs w:val="21"/>
              </w:rPr>
            </w:pPr>
            <w:r>
              <w:rPr>
                <w:szCs w:val="21"/>
              </w:rPr>
              <w:t>29.94</w:t>
            </w:r>
          </w:p>
        </w:tc>
        <w:tc>
          <w:tcPr>
            <w:tcW w:w="469" w:type="pct"/>
            <w:noWrap w:val="0"/>
            <w:vAlign w:val="center"/>
          </w:tcPr>
          <w:p w14:paraId="5F372450">
            <w:pPr>
              <w:spacing w:line="240" w:lineRule="exact"/>
              <w:jc w:val="center"/>
              <w:rPr>
                <w:szCs w:val="21"/>
              </w:rPr>
            </w:pPr>
            <w:r>
              <w:rPr>
                <w:szCs w:val="21"/>
              </w:rPr>
              <w:t>89.82</w:t>
            </w:r>
          </w:p>
        </w:tc>
        <w:tc>
          <w:tcPr>
            <w:tcW w:w="469" w:type="pct"/>
            <w:noWrap w:val="0"/>
            <w:vAlign w:val="center"/>
          </w:tcPr>
          <w:p w14:paraId="4A219DB4">
            <w:pPr>
              <w:spacing w:line="240" w:lineRule="exact"/>
              <w:jc w:val="center"/>
              <w:rPr>
                <w:szCs w:val="21"/>
              </w:rPr>
            </w:pPr>
            <w:r>
              <w:rPr>
                <w:szCs w:val="21"/>
              </w:rPr>
              <w:t>89.84</w:t>
            </w:r>
          </w:p>
        </w:tc>
        <w:tc>
          <w:tcPr>
            <w:tcW w:w="469" w:type="pct"/>
            <w:noWrap w:val="0"/>
            <w:vAlign w:val="center"/>
          </w:tcPr>
          <w:p w14:paraId="00F7543E">
            <w:pPr>
              <w:spacing w:line="240" w:lineRule="exact"/>
              <w:jc w:val="center"/>
              <w:rPr>
                <w:szCs w:val="21"/>
              </w:rPr>
            </w:pPr>
            <w:r>
              <w:rPr>
                <w:szCs w:val="21"/>
              </w:rPr>
              <w:t>89.91</w:t>
            </w:r>
          </w:p>
        </w:tc>
        <w:tc>
          <w:tcPr>
            <w:tcW w:w="469" w:type="pct"/>
            <w:noWrap w:val="0"/>
            <w:vAlign w:val="center"/>
          </w:tcPr>
          <w:p w14:paraId="2D6C6BC8">
            <w:pPr>
              <w:spacing w:line="240" w:lineRule="exact"/>
              <w:jc w:val="center"/>
              <w:rPr>
                <w:szCs w:val="21"/>
              </w:rPr>
            </w:pPr>
            <w:r>
              <w:rPr>
                <w:szCs w:val="21"/>
              </w:rPr>
              <w:t>89.81</w:t>
            </w:r>
          </w:p>
        </w:tc>
        <w:tc>
          <w:tcPr>
            <w:tcW w:w="469" w:type="pct"/>
            <w:noWrap w:val="0"/>
            <w:vAlign w:val="center"/>
          </w:tcPr>
          <w:p w14:paraId="09192E11">
            <w:pPr>
              <w:spacing w:line="240" w:lineRule="exact"/>
              <w:jc w:val="center"/>
              <w:rPr>
                <w:szCs w:val="21"/>
              </w:rPr>
            </w:pPr>
            <w:r>
              <w:rPr>
                <w:szCs w:val="21"/>
              </w:rPr>
              <w:t>89.78</w:t>
            </w:r>
          </w:p>
        </w:tc>
        <w:tc>
          <w:tcPr>
            <w:tcW w:w="469" w:type="pct"/>
            <w:noWrap w:val="0"/>
            <w:vAlign w:val="center"/>
          </w:tcPr>
          <w:p w14:paraId="30B0F143">
            <w:pPr>
              <w:spacing w:line="240" w:lineRule="exact"/>
              <w:jc w:val="center"/>
              <w:rPr>
                <w:szCs w:val="21"/>
              </w:rPr>
            </w:pPr>
            <w:r>
              <w:rPr>
                <w:szCs w:val="21"/>
              </w:rPr>
              <w:t>89.66</w:t>
            </w:r>
          </w:p>
        </w:tc>
        <w:tc>
          <w:tcPr>
            <w:tcW w:w="680" w:type="pct"/>
            <w:noWrap w:val="0"/>
            <w:vAlign w:val="center"/>
          </w:tcPr>
          <w:p w14:paraId="5926D71E">
            <w:pPr>
              <w:spacing w:line="240" w:lineRule="exact"/>
              <w:jc w:val="center"/>
              <w:rPr>
                <w:szCs w:val="21"/>
              </w:rPr>
            </w:pPr>
            <w:r>
              <w:rPr>
                <w:rFonts w:eastAsia="DengXian"/>
                <w:sz w:val="22"/>
                <w:szCs w:val="22"/>
              </w:rPr>
              <w:t xml:space="preserve">0.08 </w:t>
            </w:r>
          </w:p>
        </w:tc>
        <w:tc>
          <w:tcPr>
            <w:tcW w:w="680" w:type="pct"/>
            <w:noWrap w:val="0"/>
            <w:vAlign w:val="center"/>
          </w:tcPr>
          <w:p w14:paraId="1BF2F2A9">
            <w:pPr>
              <w:spacing w:line="240" w:lineRule="exact"/>
              <w:jc w:val="center"/>
              <w:rPr>
                <w:szCs w:val="21"/>
              </w:rPr>
            </w:pPr>
            <w:r>
              <w:rPr>
                <w:rFonts w:eastAsia="DengXian"/>
                <w:sz w:val="22"/>
                <w:szCs w:val="22"/>
              </w:rPr>
              <w:t>0.08%</w:t>
            </w:r>
          </w:p>
        </w:tc>
      </w:tr>
    </w:tbl>
    <w:p w14:paraId="5C51B5A4">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规范中校准方法如下:</w:t>
      </w:r>
    </w:p>
    <w:p w14:paraId="1C8C100F">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系统校准零点和量程点后，首先通入约为满量程60%的空气中丙烷气体标准物质，待示值稳定后，记录测量值，然后通入零点气体，待仪器回零后，再通入上述浓度的气体标准物质，重复测量6次，按式(7)计算单次测量的相对标准偏差(绝对误差)，按式(8)计算的系统重复性(引用误差):</w:t>
      </w:r>
    </w:p>
    <w:p w14:paraId="157ABA31">
      <w:pPr>
        <w:snapToGrid w:val="0"/>
        <w:ind w:left="420" w:leftChars="200" w:firstLine="0"/>
        <w:jc w:val="right"/>
        <w:rPr>
          <w:rFonts w:ascii="SimSun" w:hAnsi="SimSun"/>
        </w:rPr>
      </w:pPr>
      <w:r>
        <w:rPr>
          <w:rFonts w:hint="eastAsia" w:ascii="SimSun" w:hAnsi="SimSun"/>
        </w:rPr>
        <w:object>
          <v:shape id="_x0000_i1039" o:spt="75" type="#_x0000_t75" style="height:52pt;width:132pt;" o:ole="t" filled="f" o:preferrelative="t" stroked="f" coordsize="21600,21600">
            <v:path/>
            <v:fill on="f" focussize="0,0"/>
            <v:stroke on="f" joinstyle="miter"/>
            <v:imagedata r:id="rId37" o:title=""/>
            <o:lock v:ext="edit" aspectratio="f"/>
            <w10:wrap type="none"/>
            <w10:anchorlock/>
          </v:shape>
          <o:OLEObject Type="Embed" ProgID="Equation.DSMT4" ShapeID="_x0000_i1039" DrawAspect="Content" ObjectID="_1468075739" r:id="rId36">
            <o:LockedField>false</o:LockedField>
          </o:OLEObject>
        </w:object>
      </w:r>
      <w:r>
        <w:rPr>
          <w:rFonts w:hint="eastAsia" w:ascii="SimSun" w:hAnsi="SimSun"/>
        </w:rPr>
        <w:t xml:space="preserve">                 （</w:t>
      </w:r>
      <w:r>
        <w:rPr>
          <w:rFonts w:hint="eastAsia" w:ascii="SimSun" w:hAnsi="SimSun"/>
          <w:lang w:val="en-US" w:eastAsia="zh-CN"/>
        </w:rPr>
        <w:t>7</w:t>
      </w:r>
      <w:r>
        <w:rPr>
          <w:rFonts w:hint="eastAsia" w:ascii="SimSun" w:hAnsi="SimSun"/>
        </w:rPr>
        <w:t>）</w:t>
      </w:r>
    </w:p>
    <w:p w14:paraId="5D88B1F5">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式中</w:t>
      </w:r>
    </w:p>
    <w:p w14:paraId="3DD44AA5">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40" o:spt="75" type="#_x0000_t75" style="height:18pt;width:13.95pt;" o:ole="t" filled="f" o:preferrelative="t" stroked="f" coordsize="21600,21600">
            <v:path/>
            <v:fill on="f" focussize="0,0"/>
            <v:stroke on="f" joinstyle="miter"/>
            <v:imagedata r:id="rId39" o:title=""/>
            <o:lock v:ext="edit" aspectratio="f"/>
            <w10:wrap type="none"/>
            <w10:anchorlock/>
          </v:shape>
          <o:OLEObject Type="Embed" ProgID="Equation.DSMT4" ShapeID="_x0000_i1040" DrawAspect="Content" ObjectID="_1468075740" r:id="rId38">
            <o:LockedField>false</o:LockedField>
          </o:OLEObject>
        </w:object>
      </w:r>
      <w:r>
        <w:rPr>
          <w:rFonts w:hint="eastAsia"/>
          <w:bCs/>
          <w:color w:val="000000"/>
          <w:sz w:val="24"/>
          <w:lang w:val="en-US" w:eastAsia="zh-CN"/>
        </w:rPr>
        <w:t xml:space="preserve"> —— 单次测量的实验标准偏差(重复性，绝对误差)，μmol/mol；</w:t>
      </w:r>
    </w:p>
    <w:p w14:paraId="4E10B035">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41" o:spt="75" type="#_x0000_t75" style="height:17pt;width:12pt;" o:ole="t" filled="f" o:preferrelative="t" stroked="f" coordsize="21600,21600">
            <v:path/>
            <v:fill on="f" focussize="0,0"/>
            <v:stroke on="f" joinstyle="miter"/>
            <v:imagedata r:id="rId41" o:title=""/>
            <o:lock v:ext="edit" aspectratio="f"/>
            <w10:wrap type="none"/>
            <w10:anchorlock/>
          </v:shape>
          <o:OLEObject Type="Embed" ProgID="Equation.DSMT4" ShapeID="_x0000_i1041" DrawAspect="Content" ObjectID="_1468075741" r:id="rId40">
            <o:LockedField>false</o:LockedField>
          </o:OLEObject>
        </w:object>
      </w:r>
      <w:r>
        <w:rPr>
          <w:rFonts w:hint="eastAsia"/>
          <w:bCs/>
          <w:color w:val="000000"/>
          <w:sz w:val="24"/>
          <w:lang w:val="en-US" w:eastAsia="zh-CN"/>
        </w:rPr>
        <w:t xml:space="preserve"> —— 测量n次的算术平均值，μmol/mol；</w:t>
      </w:r>
    </w:p>
    <w:p w14:paraId="4C6F886F">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42" o:spt="75" type="#_x0000_t75" style="height:18pt;width:13.95pt;" o:ole="t" filled="f" o:preferrelative="t" stroked="f" coordsize="21600,21600">
            <v:path/>
            <v:fill on="f" focussize="0,0"/>
            <v:stroke on="f" joinstyle="miter"/>
            <v:imagedata r:id="rId43" o:title=""/>
            <o:lock v:ext="edit" aspectratio="f"/>
            <w10:wrap type="none"/>
            <w10:anchorlock/>
          </v:shape>
          <o:OLEObject Type="Embed" ProgID="Equation.DSMT4" ShapeID="_x0000_i1042" DrawAspect="Content" ObjectID="_1468075742" r:id="rId42">
            <o:LockedField>false</o:LockedField>
          </o:OLEObject>
        </w:object>
      </w:r>
      <w:r>
        <w:rPr>
          <w:rFonts w:hint="eastAsia"/>
          <w:bCs/>
          <w:color w:val="000000"/>
          <w:sz w:val="24"/>
          <w:lang w:val="en-US" w:eastAsia="zh-CN"/>
        </w:rPr>
        <w:t xml:space="preserve"> —— 第i次测量的显示示值，μmol/mol；</w:t>
      </w:r>
    </w:p>
    <w:p w14:paraId="35319438">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43" o:spt="75" type="#_x0000_t75" style="height:11pt;width:10pt;" o:ole="t" filled="f" o:preferrelative="t" stroked="f" coordsize="21600,21600">
            <v:path/>
            <v:fill on="f" focussize="0,0"/>
            <v:stroke on="f" joinstyle="miter"/>
            <v:imagedata r:id="rId45" o:title=""/>
            <o:lock v:ext="edit" aspectratio="f"/>
            <w10:wrap type="none"/>
            <w10:anchorlock/>
          </v:shape>
          <o:OLEObject Type="Embed" ProgID="Equation.DSMT4" ShapeID="_x0000_i1043" DrawAspect="Content" ObjectID="_1468075743" r:id="rId44">
            <o:LockedField>false</o:LockedField>
          </o:OLEObject>
        </w:object>
      </w:r>
      <w:r>
        <w:rPr>
          <w:rFonts w:hint="eastAsia"/>
          <w:bCs/>
          <w:color w:val="000000"/>
          <w:sz w:val="24"/>
          <w:lang w:val="en-US" w:eastAsia="zh-CN"/>
        </w:rPr>
        <w:t xml:space="preserve"> —— 测量次数。</w:t>
      </w:r>
    </w:p>
    <w:p w14:paraId="0714F099">
      <w:pPr>
        <w:snapToGrid w:val="0"/>
        <w:ind w:left="420" w:leftChars="200" w:firstLine="0"/>
        <w:jc w:val="right"/>
        <w:rPr>
          <w:rFonts w:ascii="SimSun" w:hAnsi="SimSun"/>
        </w:rPr>
      </w:pPr>
      <w:r>
        <w:rPr>
          <w:rFonts w:hint="eastAsia" w:ascii="SimSun" w:hAnsi="SimSun"/>
        </w:rPr>
        <w:object>
          <v:shape id="_x0000_i1044" o:spt="75" type="#_x0000_t75" style="height:30.55pt;width:80.55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rFonts w:hint="eastAsia" w:ascii="SimSun" w:hAnsi="SimSun"/>
        </w:rPr>
        <w:t xml:space="preserve">                      （</w:t>
      </w:r>
      <w:r>
        <w:rPr>
          <w:rFonts w:hint="eastAsia" w:ascii="SimSun" w:hAnsi="SimSun"/>
          <w:lang w:val="en-US" w:eastAsia="zh-CN"/>
        </w:rPr>
        <w:t>8</w:t>
      </w:r>
      <w:r>
        <w:rPr>
          <w:rFonts w:hint="eastAsia" w:ascii="SimSun" w:hAnsi="SimSun"/>
        </w:rPr>
        <w:t>）</w:t>
      </w:r>
    </w:p>
    <w:p w14:paraId="1D108E9B">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式中：</w:t>
      </w:r>
    </w:p>
    <w:p w14:paraId="4F46BFF8">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45" o:spt="75" type="#_x0000_t75" style="height:18pt;width:15pt;" o:ole="t" filled="f" o:preferrelative="t" stroked="f" coordsize="21600,21600">
            <v:path/>
            <v:fill on="f" focussize="0,0"/>
            <v:stroke on="f" joinstyle="miter"/>
            <v:imagedata r:id="rId49" o:title=""/>
            <o:lock v:ext="edit" aspectratio="f"/>
            <w10:wrap type="none"/>
            <w10:anchorlock/>
          </v:shape>
          <o:OLEObject Type="Embed" ProgID="Equation.DSMT4" ShapeID="_x0000_i1045" DrawAspect="Content" ObjectID="_1468075745" r:id="rId48">
            <o:LockedField>false</o:LockedField>
          </o:OLEObject>
        </w:object>
      </w:r>
      <w:r>
        <w:rPr>
          <w:rFonts w:hint="eastAsia"/>
          <w:bCs/>
          <w:color w:val="000000"/>
          <w:sz w:val="24"/>
          <w:lang w:val="en-US" w:eastAsia="zh-CN"/>
        </w:rPr>
        <w:t xml:space="preserve">  —— 重复性(引用误差)，%FS；</w:t>
      </w:r>
    </w:p>
    <w:p w14:paraId="4A7792A7">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7.7 漂移</w:t>
      </w:r>
    </w:p>
    <w:p w14:paraId="0C5D8BAE">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漂移(零点漂移和量程漂移)校准方法与JJG 693—2011《可燃气体检测报警器检定规程》和JJF 1585—2016《固定污染源烟气排放连续监测系统校准规范》等标准基本一致，数据处理方式分为绝对误差和引用误差两种。常规实验室条件漂移通常选8小时，环境监测选取24小时，国际民用航空公约附件16《环境保护》第II卷 — 《航空器发动机的排放物》中定义1小时漂移量，并且试验中每一小时需要提供漂移数据，如不满足要求则重新试验。取满量程30%、60%、90%三个浓度点开展校准，不同浓度点漂移的数据差异不大，现有计量技术规范通常选取大量程点开展漂移校准，所以选取90%浓度点。</w:t>
      </w:r>
    </w:p>
    <w:p w14:paraId="009511AF">
      <w:pPr>
        <w:pStyle w:val="6"/>
        <w:jc w:val="center"/>
        <w:rPr>
          <w:rFonts w:hint="eastAsia" w:ascii="Times New Roman" w:hAnsi="Times New Roman" w:eastAsia="SimSun" w:cs="Times New Roman"/>
          <w:color w:val="auto"/>
          <w:spacing w:val="2"/>
          <w:kern w:val="0"/>
          <w:sz w:val="24"/>
          <w:szCs w:val="21"/>
          <w:lang w:val="en-US" w:eastAsia="zh-CN" w:bidi="ar-SA"/>
        </w:rPr>
      </w:pPr>
      <w:r>
        <w:rPr>
          <w:rFonts w:ascii="SimHei" w:hAnsi="SimHei"/>
          <w:sz w:val="21"/>
          <w:szCs w:val="21"/>
        </w:rPr>
        <w:t xml:space="preserve">表 </w:t>
      </w:r>
      <w:r>
        <w:rPr>
          <w:rFonts w:hint="eastAsia" w:ascii="SimHei" w:hAnsi="SimHei"/>
          <w:sz w:val="21"/>
          <w:szCs w:val="21"/>
          <w:lang w:val="en-US" w:eastAsia="zh-CN"/>
        </w:rPr>
        <w:t>3漂移校准数据</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1096"/>
        <w:gridCol w:w="1599"/>
        <w:gridCol w:w="1600"/>
        <w:gridCol w:w="1600"/>
        <w:gridCol w:w="1602"/>
      </w:tblGrid>
      <w:tr w14:paraId="0EB1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exact"/>
        </w:trPr>
        <w:tc>
          <w:tcPr>
            <w:tcW w:w="590" w:type="pct"/>
            <w:noWrap/>
            <w:vAlign w:val="center"/>
          </w:tcPr>
          <w:p w14:paraId="6E13DFAC">
            <w:pPr>
              <w:widowControl/>
              <w:jc w:val="center"/>
              <w:rPr>
                <w:kern w:val="0"/>
                <w:sz w:val="20"/>
              </w:rPr>
            </w:pPr>
            <w:r>
              <w:rPr>
                <w:kern w:val="0"/>
                <w:sz w:val="20"/>
              </w:rPr>
              <w:t>浓度</w:t>
            </w:r>
          </w:p>
          <w:p w14:paraId="2EEAEDC2">
            <w:pPr>
              <w:widowControl/>
              <w:jc w:val="left"/>
              <w:rPr>
                <w:kern w:val="0"/>
                <w:sz w:val="20"/>
              </w:rPr>
            </w:pPr>
            <w:r>
              <w:rPr>
                <w:kern w:val="0"/>
                <w:sz w:val="20"/>
              </w:rPr>
              <w:t>μmol/mol</w:t>
            </w:r>
          </w:p>
        </w:tc>
        <w:tc>
          <w:tcPr>
            <w:tcW w:w="640" w:type="pct"/>
            <w:noWrap/>
            <w:vAlign w:val="center"/>
          </w:tcPr>
          <w:p w14:paraId="44058E16">
            <w:pPr>
              <w:widowControl/>
              <w:jc w:val="center"/>
              <w:rPr>
                <w:kern w:val="0"/>
                <w:sz w:val="22"/>
                <w:szCs w:val="22"/>
              </w:rPr>
            </w:pPr>
            <w:r>
              <w:rPr>
                <w:kern w:val="0"/>
                <w:sz w:val="22"/>
                <w:szCs w:val="22"/>
              </w:rPr>
              <w:t>测试次数</w:t>
            </w:r>
          </w:p>
        </w:tc>
        <w:tc>
          <w:tcPr>
            <w:tcW w:w="942" w:type="pct"/>
            <w:noWrap w:val="0"/>
            <w:vAlign w:val="center"/>
          </w:tcPr>
          <w:p w14:paraId="054168CE">
            <w:pPr>
              <w:widowControl/>
              <w:jc w:val="center"/>
              <w:rPr>
                <w:kern w:val="0"/>
                <w:sz w:val="22"/>
                <w:szCs w:val="22"/>
              </w:rPr>
            </w:pPr>
            <w:r>
              <w:rPr>
                <w:kern w:val="0"/>
                <w:sz w:val="22"/>
                <w:szCs w:val="22"/>
              </w:rPr>
              <w:t>零点示值Z</w:t>
            </w:r>
            <w:r>
              <w:rPr>
                <w:kern w:val="0"/>
                <w:sz w:val="22"/>
                <w:szCs w:val="22"/>
                <w:vertAlign w:val="subscript"/>
              </w:rPr>
              <w:t>i</w:t>
            </w:r>
          </w:p>
          <w:p w14:paraId="4DE3C4A4">
            <w:pPr>
              <w:widowControl/>
              <w:jc w:val="center"/>
              <w:rPr>
                <w:kern w:val="0"/>
                <w:sz w:val="22"/>
                <w:szCs w:val="22"/>
              </w:rPr>
            </w:pPr>
            <w:r>
              <w:rPr>
                <w:kern w:val="0"/>
                <w:sz w:val="22"/>
                <w:szCs w:val="22"/>
              </w:rPr>
              <w:t>ppmC</w:t>
            </w:r>
          </w:p>
        </w:tc>
        <w:tc>
          <w:tcPr>
            <w:tcW w:w="942" w:type="pct"/>
            <w:noWrap w:val="0"/>
            <w:vAlign w:val="center"/>
          </w:tcPr>
          <w:p w14:paraId="5030F382">
            <w:pPr>
              <w:widowControl/>
              <w:jc w:val="center"/>
              <w:rPr>
                <w:kern w:val="0"/>
                <w:sz w:val="22"/>
                <w:szCs w:val="22"/>
              </w:rPr>
            </w:pPr>
            <w:r>
              <w:rPr>
                <w:kern w:val="0"/>
                <w:sz w:val="22"/>
                <w:szCs w:val="22"/>
              </w:rPr>
              <w:t>浓度示值S</w:t>
            </w:r>
            <w:r>
              <w:rPr>
                <w:kern w:val="0"/>
                <w:sz w:val="22"/>
                <w:szCs w:val="22"/>
                <w:vertAlign w:val="subscript"/>
              </w:rPr>
              <w:t>i</w:t>
            </w:r>
          </w:p>
          <w:p w14:paraId="3CDE1EF8">
            <w:pPr>
              <w:widowControl/>
              <w:jc w:val="center"/>
              <w:rPr>
                <w:kern w:val="0"/>
                <w:sz w:val="22"/>
                <w:szCs w:val="22"/>
              </w:rPr>
            </w:pPr>
            <w:r>
              <w:rPr>
                <w:kern w:val="0"/>
                <w:sz w:val="22"/>
                <w:szCs w:val="22"/>
              </w:rPr>
              <w:t>ppmC</w:t>
            </w:r>
          </w:p>
        </w:tc>
        <w:tc>
          <w:tcPr>
            <w:tcW w:w="942" w:type="pct"/>
            <w:noWrap w:val="0"/>
            <w:vAlign w:val="center"/>
          </w:tcPr>
          <w:p w14:paraId="53667778">
            <w:pPr>
              <w:widowControl/>
              <w:jc w:val="center"/>
              <w:rPr>
                <w:kern w:val="0"/>
                <w:sz w:val="22"/>
                <w:szCs w:val="22"/>
              </w:rPr>
            </w:pPr>
            <w:r>
              <w:rPr>
                <w:kern w:val="0"/>
                <w:sz w:val="22"/>
                <w:szCs w:val="22"/>
              </w:rPr>
              <w:t>零点漂移ΔZ</w:t>
            </w:r>
            <w:r>
              <w:rPr>
                <w:kern w:val="0"/>
                <w:sz w:val="22"/>
                <w:szCs w:val="22"/>
                <w:vertAlign w:val="subscript"/>
              </w:rPr>
              <w:t>i</w:t>
            </w:r>
          </w:p>
          <w:p w14:paraId="74C222C8">
            <w:pPr>
              <w:widowControl/>
              <w:jc w:val="center"/>
              <w:rPr>
                <w:kern w:val="0"/>
                <w:sz w:val="22"/>
                <w:szCs w:val="22"/>
              </w:rPr>
            </w:pPr>
            <w:r>
              <w:rPr>
                <w:kern w:val="0"/>
                <w:sz w:val="22"/>
                <w:szCs w:val="22"/>
              </w:rPr>
              <w:t>%FS</w:t>
            </w:r>
          </w:p>
        </w:tc>
        <w:tc>
          <w:tcPr>
            <w:tcW w:w="943" w:type="pct"/>
            <w:noWrap w:val="0"/>
            <w:vAlign w:val="center"/>
          </w:tcPr>
          <w:p w14:paraId="6AC2EC54">
            <w:pPr>
              <w:widowControl/>
              <w:jc w:val="center"/>
              <w:rPr>
                <w:kern w:val="0"/>
                <w:sz w:val="22"/>
                <w:szCs w:val="22"/>
              </w:rPr>
            </w:pPr>
            <w:r>
              <w:rPr>
                <w:kern w:val="0"/>
                <w:sz w:val="22"/>
                <w:szCs w:val="22"/>
              </w:rPr>
              <w:t>量程漂移ΔS</w:t>
            </w:r>
            <w:r>
              <w:rPr>
                <w:kern w:val="0"/>
                <w:sz w:val="22"/>
                <w:szCs w:val="22"/>
                <w:vertAlign w:val="subscript"/>
              </w:rPr>
              <w:t>i</w:t>
            </w:r>
          </w:p>
          <w:p w14:paraId="67F2674E">
            <w:pPr>
              <w:widowControl/>
              <w:jc w:val="center"/>
              <w:rPr>
                <w:kern w:val="0"/>
                <w:sz w:val="22"/>
                <w:szCs w:val="22"/>
              </w:rPr>
            </w:pPr>
            <w:r>
              <w:rPr>
                <w:kern w:val="0"/>
                <w:sz w:val="22"/>
                <w:szCs w:val="22"/>
              </w:rPr>
              <w:t>%FS</w:t>
            </w:r>
          </w:p>
        </w:tc>
      </w:tr>
      <w:tr w14:paraId="2795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restart"/>
            <w:noWrap/>
            <w:vAlign w:val="center"/>
          </w:tcPr>
          <w:p w14:paraId="02CC8C8B">
            <w:pPr>
              <w:widowControl/>
              <w:jc w:val="center"/>
              <w:rPr>
                <w:kern w:val="0"/>
                <w:sz w:val="22"/>
                <w:szCs w:val="22"/>
              </w:rPr>
            </w:pPr>
            <w:r>
              <w:rPr>
                <w:szCs w:val="21"/>
              </w:rPr>
              <w:t>9.98</w:t>
            </w:r>
          </w:p>
        </w:tc>
        <w:tc>
          <w:tcPr>
            <w:tcW w:w="640" w:type="pct"/>
            <w:noWrap/>
            <w:vAlign w:val="center"/>
          </w:tcPr>
          <w:p w14:paraId="0269BD0D">
            <w:pPr>
              <w:widowControl/>
              <w:jc w:val="center"/>
              <w:rPr>
                <w:kern w:val="0"/>
                <w:sz w:val="22"/>
                <w:szCs w:val="22"/>
              </w:rPr>
            </w:pPr>
            <w:r>
              <w:rPr>
                <w:kern w:val="0"/>
                <w:sz w:val="22"/>
                <w:szCs w:val="22"/>
              </w:rPr>
              <w:t>0#</w:t>
            </w:r>
          </w:p>
        </w:tc>
        <w:tc>
          <w:tcPr>
            <w:tcW w:w="942" w:type="pct"/>
            <w:noWrap/>
            <w:vAlign w:val="center"/>
          </w:tcPr>
          <w:p w14:paraId="318B0CCA">
            <w:pPr>
              <w:widowControl/>
              <w:jc w:val="center"/>
              <w:rPr>
                <w:kern w:val="0"/>
                <w:sz w:val="22"/>
                <w:szCs w:val="22"/>
              </w:rPr>
            </w:pPr>
            <w:r>
              <w:rPr>
                <w:kern w:val="0"/>
                <w:sz w:val="22"/>
                <w:szCs w:val="22"/>
              </w:rPr>
              <w:t xml:space="preserve">-0.13 </w:t>
            </w:r>
          </w:p>
        </w:tc>
        <w:tc>
          <w:tcPr>
            <w:tcW w:w="942" w:type="pct"/>
            <w:noWrap/>
            <w:vAlign w:val="center"/>
          </w:tcPr>
          <w:p w14:paraId="6736C80E">
            <w:pPr>
              <w:widowControl/>
              <w:jc w:val="center"/>
              <w:rPr>
                <w:kern w:val="0"/>
                <w:sz w:val="22"/>
                <w:szCs w:val="22"/>
              </w:rPr>
            </w:pPr>
            <w:r>
              <w:rPr>
                <w:kern w:val="0"/>
                <w:sz w:val="22"/>
                <w:szCs w:val="22"/>
              </w:rPr>
              <w:t xml:space="preserve">29.23 </w:t>
            </w:r>
          </w:p>
        </w:tc>
        <w:tc>
          <w:tcPr>
            <w:tcW w:w="942" w:type="pct"/>
            <w:noWrap/>
            <w:vAlign w:val="center"/>
          </w:tcPr>
          <w:p w14:paraId="1E6231CB">
            <w:pPr>
              <w:widowControl/>
              <w:jc w:val="center"/>
              <w:rPr>
                <w:kern w:val="0"/>
                <w:sz w:val="22"/>
                <w:szCs w:val="22"/>
              </w:rPr>
            </w:pPr>
          </w:p>
        </w:tc>
        <w:tc>
          <w:tcPr>
            <w:tcW w:w="943" w:type="pct"/>
            <w:noWrap/>
            <w:vAlign w:val="center"/>
          </w:tcPr>
          <w:p w14:paraId="300A59DE">
            <w:pPr>
              <w:widowControl/>
              <w:jc w:val="center"/>
              <w:rPr>
                <w:kern w:val="0"/>
                <w:sz w:val="22"/>
                <w:szCs w:val="22"/>
              </w:rPr>
            </w:pPr>
          </w:p>
        </w:tc>
      </w:tr>
      <w:tr w14:paraId="160E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5F8C45F6">
            <w:pPr>
              <w:widowControl/>
              <w:jc w:val="center"/>
              <w:rPr>
                <w:kern w:val="0"/>
                <w:sz w:val="22"/>
                <w:szCs w:val="22"/>
              </w:rPr>
            </w:pPr>
          </w:p>
        </w:tc>
        <w:tc>
          <w:tcPr>
            <w:tcW w:w="640" w:type="pct"/>
            <w:noWrap/>
            <w:vAlign w:val="center"/>
          </w:tcPr>
          <w:p w14:paraId="1D673A68">
            <w:pPr>
              <w:widowControl/>
              <w:jc w:val="center"/>
              <w:rPr>
                <w:kern w:val="0"/>
                <w:sz w:val="22"/>
                <w:szCs w:val="22"/>
              </w:rPr>
            </w:pPr>
            <w:r>
              <w:rPr>
                <w:kern w:val="0"/>
                <w:sz w:val="22"/>
                <w:szCs w:val="22"/>
              </w:rPr>
              <w:t>1#</w:t>
            </w:r>
          </w:p>
        </w:tc>
        <w:tc>
          <w:tcPr>
            <w:tcW w:w="942" w:type="pct"/>
            <w:noWrap/>
            <w:vAlign w:val="center"/>
          </w:tcPr>
          <w:p w14:paraId="784979A9">
            <w:pPr>
              <w:widowControl/>
              <w:jc w:val="center"/>
              <w:rPr>
                <w:kern w:val="0"/>
                <w:sz w:val="22"/>
                <w:szCs w:val="22"/>
              </w:rPr>
            </w:pPr>
            <w:r>
              <w:rPr>
                <w:kern w:val="0"/>
                <w:sz w:val="22"/>
                <w:szCs w:val="22"/>
              </w:rPr>
              <w:t xml:space="preserve">-0.16 </w:t>
            </w:r>
          </w:p>
        </w:tc>
        <w:tc>
          <w:tcPr>
            <w:tcW w:w="942" w:type="pct"/>
            <w:noWrap/>
            <w:vAlign w:val="center"/>
          </w:tcPr>
          <w:p w14:paraId="2A301631">
            <w:pPr>
              <w:widowControl/>
              <w:jc w:val="center"/>
              <w:rPr>
                <w:kern w:val="0"/>
                <w:sz w:val="22"/>
                <w:szCs w:val="22"/>
              </w:rPr>
            </w:pPr>
            <w:r>
              <w:rPr>
                <w:kern w:val="0"/>
                <w:sz w:val="22"/>
                <w:szCs w:val="22"/>
              </w:rPr>
              <w:t xml:space="preserve">29.05 </w:t>
            </w:r>
          </w:p>
        </w:tc>
        <w:tc>
          <w:tcPr>
            <w:tcW w:w="942" w:type="pct"/>
            <w:noWrap/>
            <w:vAlign w:val="center"/>
          </w:tcPr>
          <w:p w14:paraId="137F3D1C">
            <w:pPr>
              <w:widowControl/>
              <w:jc w:val="center"/>
              <w:rPr>
                <w:kern w:val="0"/>
                <w:sz w:val="22"/>
                <w:szCs w:val="22"/>
              </w:rPr>
            </w:pPr>
            <w:r>
              <w:rPr>
                <w:kern w:val="0"/>
                <w:sz w:val="22"/>
                <w:szCs w:val="22"/>
              </w:rPr>
              <w:t xml:space="preserve">-0.03 </w:t>
            </w:r>
          </w:p>
        </w:tc>
        <w:tc>
          <w:tcPr>
            <w:tcW w:w="943" w:type="pct"/>
            <w:noWrap/>
            <w:vAlign w:val="center"/>
          </w:tcPr>
          <w:p w14:paraId="5F4B0BE2">
            <w:pPr>
              <w:widowControl/>
              <w:jc w:val="center"/>
              <w:rPr>
                <w:kern w:val="0"/>
                <w:sz w:val="22"/>
                <w:szCs w:val="22"/>
              </w:rPr>
            </w:pPr>
            <w:r>
              <w:rPr>
                <w:kern w:val="0"/>
                <w:sz w:val="22"/>
                <w:szCs w:val="22"/>
              </w:rPr>
              <w:t>-0.15%</w:t>
            </w:r>
          </w:p>
        </w:tc>
      </w:tr>
      <w:tr w14:paraId="6109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1115BAF4">
            <w:pPr>
              <w:widowControl/>
              <w:jc w:val="center"/>
              <w:rPr>
                <w:kern w:val="0"/>
                <w:sz w:val="22"/>
                <w:szCs w:val="22"/>
              </w:rPr>
            </w:pPr>
          </w:p>
        </w:tc>
        <w:tc>
          <w:tcPr>
            <w:tcW w:w="640" w:type="pct"/>
            <w:noWrap/>
            <w:vAlign w:val="center"/>
          </w:tcPr>
          <w:p w14:paraId="2B5EF376">
            <w:pPr>
              <w:widowControl/>
              <w:jc w:val="center"/>
              <w:rPr>
                <w:kern w:val="0"/>
                <w:sz w:val="22"/>
                <w:szCs w:val="22"/>
              </w:rPr>
            </w:pPr>
            <w:r>
              <w:rPr>
                <w:kern w:val="0"/>
                <w:sz w:val="22"/>
                <w:szCs w:val="22"/>
              </w:rPr>
              <w:t>2#</w:t>
            </w:r>
          </w:p>
        </w:tc>
        <w:tc>
          <w:tcPr>
            <w:tcW w:w="942" w:type="pct"/>
            <w:noWrap/>
            <w:vAlign w:val="center"/>
          </w:tcPr>
          <w:p w14:paraId="34A864FD">
            <w:pPr>
              <w:widowControl/>
              <w:jc w:val="center"/>
              <w:rPr>
                <w:kern w:val="0"/>
                <w:sz w:val="22"/>
                <w:szCs w:val="22"/>
              </w:rPr>
            </w:pPr>
            <w:r>
              <w:rPr>
                <w:kern w:val="0"/>
                <w:sz w:val="22"/>
                <w:szCs w:val="22"/>
              </w:rPr>
              <w:t xml:space="preserve">-0.17 </w:t>
            </w:r>
          </w:p>
        </w:tc>
        <w:tc>
          <w:tcPr>
            <w:tcW w:w="942" w:type="pct"/>
            <w:noWrap/>
            <w:vAlign w:val="center"/>
          </w:tcPr>
          <w:p w14:paraId="4BBC7FB0">
            <w:pPr>
              <w:widowControl/>
              <w:jc w:val="center"/>
              <w:rPr>
                <w:kern w:val="0"/>
                <w:sz w:val="22"/>
                <w:szCs w:val="22"/>
              </w:rPr>
            </w:pPr>
            <w:r>
              <w:rPr>
                <w:kern w:val="0"/>
                <w:sz w:val="22"/>
                <w:szCs w:val="22"/>
              </w:rPr>
              <w:t xml:space="preserve">29.03 </w:t>
            </w:r>
          </w:p>
        </w:tc>
        <w:tc>
          <w:tcPr>
            <w:tcW w:w="942" w:type="pct"/>
            <w:noWrap/>
            <w:vAlign w:val="center"/>
          </w:tcPr>
          <w:p w14:paraId="23131145">
            <w:pPr>
              <w:widowControl/>
              <w:jc w:val="center"/>
              <w:rPr>
                <w:kern w:val="0"/>
                <w:sz w:val="22"/>
                <w:szCs w:val="22"/>
              </w:rPr>
            </w:pPr>
            <w:r>
              <w:rPr>
                <w:kern w:val="0"/>
                <w:sz w:val="22"/>
                <w:szCs w:val="22"/>
              </w:rPr>
              <w:t xml:space="preserve">-0.04 </w:t>
            </w:r>
          </w:p>
        </w:tc>
        <w:tc>
          <w:tcPr>
            <w:tcW w:w="943" w:type="pct"/>
            <w:noWrap/>
            <w:vAlign w:val="center"/>
          </w:tcPr>
          <w:p w14:paraId="20235685">
            <w:pPr>
              <w:widowControl/>
              <w:jc w:val="center"/>
              <w:rPr>
                <w:kern w:val="0"/>
                <w:sz w:val="22"/>
                <w:szCs w:val="22"/>
              </w:rPr>
            </w:pPr>
            <w:r>
              <w:rPr>
                <w:kern w:val="0"/>
                <w:sz w:val="22"/>
                <w:szCs w:val="22"/>
              </w:rPr>
              <w:t>-0.16%</w:t>
            </w:r>
          </w:p>
        </w:tc>
      </w:tr>
      <w:tr w14:paraId="1C42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5C712360">
            <w:pPr>
              <w:widowControl/>
              <w:jc w:val="center"/>
              <w:rPr>
                <w:kern w:val="0"/>
                <w:sz w:val="22"/>
                <w:szCs w:val="22"/>
              </w:rPr>
            </w:pPr>
          </w:p>
        </w:tc>
        <w:tc>
          <w:tcPr>
            <w:tcW w:w="640" w:type="pct"/>
            <w:noWrap/>
            <w:vAlign w:val="center"/>
          </w:tcPr>
          <w:p w14:paraId="75FAD341">
            <w:pPr>
              <w:widowControl/>
              <w:jc w:val="center"/>
              <w:rPr>
                <w:kern w:val="0"/>
                <w:sz w:val="22"/>
                <w:szCs w:val="22"/>
              </w:rPr>
            </w:pPr>
            <w:r>
              <w:rPr>
                <w:kern w:val="0"/>
                <w:sz w:val="22"/>
                <w:szCs w:val="22"/>
              </w:rPr>
              <w:t>3#</w:t>
            </w:r>
          </w:p>
        </w:tc>
        <w:tc>
          <w:tcPr>
            <w:tcW w:w="942" w:type="pct"/>
            <w:noWrap/>
            <w:vAlign w:val="center"/>
          </w:tcPr>
          <w:p w14:paraId="7731F7AA">
            <w:pPr>
              <w:widowControl/>
              <w:jc w:val="center"/>
              <w:rPr>
                <w:kern w:val="0"/>
                <w:sz w:val="22"/>
                <w:szCs w:val="22"/>
              </w:rPr>
            </w:pPr>
            <w:r>
              <w:rPr>
                <w:kern w:val="0"/>
                <w:sz w:val="22"/>
                <w:szCs w:val="22"/>
              </w:rPr>
              <w:t xml:space="preserve">-0.16 </w:t>
            </w:r>
          </w:p>
        </w:tc>
        <w:tc>
          <w:tcPr>
            <w:tcW w:w="942" w:type="pct"/>
            <w:noWrap/>
            <w:vAlign w:val="center"/>
          </w:tcPr>
          <w:p w14:paraId="0BC2A55C">
            <w:pPr>
              <w:widowControl/>
              <w:jc w:val="center"/>
              <w:rPr>
                <w:kern w:val="0"/>
                <w:sz w:val="22"/>
                <w:szCs w:val="22"/>
              </w:rPr>
            </w:pPr>
            <w:r>
              <w:rPr>
                <w:kern w:val="0"/>
                <w:sz w:val="22"/>
                <w:szCs w:val="22"/>
              </w:rPr>
              <w:t xml:space="preserve">29.18 </w:t>
            </w:r>
          </w:p>
        </w:tc>
        <w:tc>
          <w:tcPr>
            <w:tcW w:w="942" w:type="pct"/>
            <w:noWrap/>
            <w:vAlign w:val="center"/>
          </w:tcPr>
          <w:p w14:paraId="6CE1930A">
            <w:pPr>
              <w:widowControl/>
              <w:jc w:val="center"/>
              <w:rPr>
                <w:kern w:val="0"/>
                <w:sz w:val="22"/>
                <w:szCs w:val="22"/>
              </w:rPr>
            </w:pPr>
            <w:r>
              <w:rPr>
                <w:kern w:val="0"/>
                <w:sz w:val="22"/>
                <w:szCs w:val="22"/>
              </w:rPr>
              <w:t xml:space="preserve">-0.03 </w:t>
            </w:r>
          </w:p>
        </w:tc>
        <w:tc>
          <w:tcPr>
            <w:tcW w:w="943" w:type="pct"/>
            <w:noWrap/>
            <w:vAlign w:val="center"/>
          </w:tcPr>
          <w:p w14:paraId="2E38E409">
            <w:pPr>
              <w:widowControl/>
              <w:jc w:val="center"/>
              <w:rPr>
                <w:kern w:val="0"/>
                <w:sz w:val="22"/>
                <w:szCs w:val="22"/>
              </w:rPr>
            </w:pPr>
            <w:r>
              <w:rPr>
                <w:kern w:val="0"/>
                <w:sz w:val="22"/>
                <w:szCs w:val="22"/>
              </w:rPr>
              <w:t>-0.02%</w:t>
            </w:r>
          </w:p>
        </w:tc>
      </w:tr>
      <w:tr w14:paraId="50FC5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798081C1">
            <w:pPr>
              <w:widowControl/>
              <w:jc w:val="center"/>
              <w:rPr>
                <w:kern w:val="0"/>
                <w:sz w:val="22"/>
                <w:szCs w:val="22"/>
              </w:rPr>
            </w:pPr>
          </w:p>
        </w:tc>
        <w:tc>
          <w:tcPr>
            <w:tcW w:w="640" w:type="pct"/>
            <w:noWrap/>
            <w:vAlign w:val="center"/>
          </w:tcPr>
          <w:p w14:paraId="62B4FAA8">
            <w:pPr>
              <w:widowControl/>
              <w:jc w:val="center"/>
              <w:rPr>
                <w:kern w:val="0"/>
                <w:sz w:val="22"/>
                <w:szCs w:val="22"/>
              </w:rPr>
            </w:pPr>
            <w:r>
              <w:rPr>
                <w:kern w:val="0"/>
                <w:sz w:val="22"/>
                <w:szCs w:val="22"/>
              </w:rPr>
              <w:t>4#</w:t>
            </w:r>
          </w:p>
        </w:tc>
        <w:tc>
          <w:tcPr>
            <w:tcW w:w="942" w:type="pct"/>
            <w:noWrap/>
            <w:vAlign w:val="center"/>
          </w:tcPr>
          <w:p w14:paraId="51E0F03D">
            <w:pPr>
              <w:widowControl/>
              <w:jc w:val="center"/>
              <w:rPr>
                <w:kern w:val="0"/>
                <w:sz w:val="22"/>
                <w:szCs w:val="22"/>
              </w:rPr>
            </w:pPr>
            <w:r>
              <w:rPr>
                <w:kern w:val="0"/>
                <w:sz w:val="22"/>
                <w:szCs w:val="22"/>
              </w:rPr>
              <w:t xml:space="preserve">-0.26 </w:t>
            </w:r>
          </w:p>
        </w:tc>
        <w:tc>
          <w:tcPr>
            <w:tcW w:w="942" w:type="pct"/>
            <w:noWrap/>
            <w:vAlign w:val="center"/>
          </w:tcPr>
          <w:p w14:paraId="045C877B">
            <w:pPr>
              <w:widowControl/>
              <w:jc w:val="center"/>
              <w:rPr>
                <w:kern w:val="0"/>
                <w:sz w:val="22"/>
                <w:szCs w:val="22"/>
              </w:rPr>
            </w:pPr>
            <w:r>
              <w:rPr>
                <w:kern w:val="0"/>
                <w:sz w:val="22"/>
                <w:szCs w:val="22"/>
              </w:rPr>
              <w:t xml:space="preserve">29.14 </w:t>
            </w:r>
          </w:p>
        </w:tc>
        <w:tc>
          <w:tcPr>
            <w:tcW w:w="942" w:type="pct"/>
            <w:noWrap/>
            <w:vAlign w:val="center"/>
          </w:tcPr>
          <w:p w14:paraId="0C9A7301">
            <w:pPr>
              <w:widowControl/>
              <w:jc w:val="center"/>
              <w:rPr>
                <w:kern w:val="0"/>
                <w:sz w:val="22"/>
                <w:szCs w:val="22"/>
              </w:rPr>
            </w:pPr>
            <w:r>
              <w:rPr>
                <w:kern w:val="0"/>
                <w:sz w:val="22"/>
                <w:szCs w:val="22"/>
              </w:rPr>
              <w:t xml:space="preserve">-0.13 </w:t>
            </w:r>
          </w:p>
        </w:tc>
        <w:tc>
          <w:tcPr>
            <w:tcW w:w="943" w:type="pct"/>
            <w:noWrap/>
            <w:vAlign w:val="center"/>
          </w:tcPr>
          <w:p w14:paraId="687812BC">
            <w:pPr>
              <w:widowControl/>
              <w:jc w:val="center"/>
              <w:rPr>
                <w:kern w:val="0"/>
                <w:sz w:val="22"/>
                <w:szCs w:val="22"/>
              </w:rPr>
            </w:pPr>
            <w:r>
              <w:rPr>
                <w:kern w:val="0"/>
                <w:sz w:val="22"/>
                <w:szCs w:val="22"/>
              </w:rPr>
              <w:t>0.04%</w:t>
            </w:r>
          </w:p>
        </w:tc>
      </w:tr>
      <w:tr w14:paraId="385C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191D5195">
            <w:pPr>
              <w:widowControl/>
              <w:jc w:val="center"/>
              <w:rPr>
                <w:kern w:val="0"/>
                <w:sz w:val="22"/>
                <w:szCs w:val="22"/>
              </w:rPr>
            </w:pPr>
          </w:p>
        </w:tc>
        <w:tc>
          <w:tcPr>
            <w:tcW w:w="640" w:type="pct"/>
            <w:noWrap/>
            <w:vAlign w:val="center"/>
          </w:tcPr>
          <w:p w14:paraId="353A70F7">
            <w:pPr>
              <w:widowControl/>
              <w:jc w:val="center"/>
              <w:rPr>
                <w:kern w:val="0"/>
                <w:sz w:val="22"/>
                <w:szCs w:val="22"/>
              </w:rPr>
            </w:pPr>
            <w:r>
              <w:rPr>
                <w:kern w:val="0"/>
                <w:sz w:val="22"/>
                <w:szCs w:val="22"/>
              </w:rPr>
              <w:t>5#</w:t>
            </w:r>
          </w:p>
        </w:tc>
        <w:tc>
          <w:tcPr>
            <w:tcW w:w="942" w:type="pct"/>
            <w:noWrap/>
            <w:vAlign w:val="center"/>
          </w:tcPr>
          <w:p w14:paraId="2B067237">
            <w:pPr>
              <w:widowControl/>
              <w:jc w:val="center"/>
              <w:rPr>
                <w:kern w:val="0"/>
                <w:sz w:val="22"/>
                <w:szCs w:val="22"/>
              </w:rPr>
            </w:pPr>
            <w:r>
              <w:rPr>
                <w:kern w:val="0"/>
                <w:sz w:val="22"/>
                <w:szCs w:val="22"/>
              </w:rPr>
              <w:t xml:space="preserve">-0.25 </w:t>
            </w:r>
          </w:p>
        </w:tc>
        <w:tc>
          <w:tcPr>
            <w:tcW w:w="942" w:type="pct"/>
            <w:noWrap/>
            <w:vAlign w:val="center"/>
          </w:tcPr>
          <w:p w14:paraId="431FA74C">
            <w:pPr>
              <w:widowControl/>
              <w:jc w:val="center"/>
              <w:rPr>
                <w:kern w:val="0"/>
                <w:sz w:val="22"/>
                <w:szCs w:val="22"/>
              </w:rPr>
            </w:pPr>
            <w:r>
              <w:rPr>
                <w:kern w:val="0"/>
                <w:sz w:val="22"/>
                <w:szCs w:val="22"/>
              </w:rPr>
              <w:t xml:space="preserve">29.04 </w:t>
            </w:r>
          </w:p>
        </w:tc>
        <w:tc>
          <w:tcPr>
            <w:tcW w:w="942" w:type="pct"/>
            <w:noWrap/>
            <w:vAlign w:val="center"/>
          </w:tcPr>
          <w:p w14:paraId="772CA1FE">
            <w:pPr>
              <w:widowControl/>
              <w:jc w:val="center"/>
              <w:rPr>
                <w:kern w:val="0"/>
                <w:sz w:val="22"/>
                <w:szCs w:val="22"/>
              </w:rPr>
            </w:pPr>
            <w:r>
              <w:rPr>
                <w:kern w:val="0"/>
                <w:sz w:val="22"/>
                <w:szCs w:val="22"/>
              </w:rPr>
              <w:t xml:space="preserve">-0.12 </w:t>
            </w:r>
          </w:p>
        </w:tc>
        <w:tc>
          <w:tcPr>
            <w:tcW w:w="943" w:type="pct"/>
            <w:noWrap/>
            <w:vAlign w:val="center"/>
          </w:tcPr>
          <w:p w14:paraId="2F5C1FB2">
            <w:pPr>
              <w:widowControl/>
              <w:jc w:val="center"/>
              <w:rPr>
                <w:kern w:val="0"/>
                <w:sz w:val="22"/>
                <w:szCs w:val="22"/>
              </w:rPr>
            </w:pPr>
            <w:r>
              <w:rPr>
                <w:kern w:val="0"/>
                <w:sz w:val="22"/>
                <w:szCs w:val="22"/>
              </w:rPr>
              <w:t>-0.07%</w:t>
            </w:r>
          </w:p>
        </w:tc>
      </w:tr>
      <w:tr w14:paraId="0879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469345CD">
            <w:pPr>
              <w:widowControl/>
              <w:jc w:val="center"/>
              <w:rPr>
                <w:kern w:val="0"/>
                <w:sz w:val="22"/>
                <w:szCs w:val="22"/>
              </w:rPr>
            </w:pPr>
          </w:p>
        </w:tc>
        <w:tc>
          <w:tcPr>
            <w:tcW w:w="640" w:type="pct"/>
            <w:noWrap/>
            <w:vAlign w:val="center"/>
          </w:tcPr>
          <w:p w14:paraId="0F490B73">
            <w:pPr>
              <w:widowControl/>
              <w:jc w:val="center"/>
              <w:rPr>
                <w:kern w:val="0"/>
                <w:sz w:val="22"/>
                <w:szCs w:val="22"/>
              </w:rPr>
            </w:pPr>
            <w:r>
              <w:rPr>
                <w:kern w:val="0"/>
                <w:sz w:val="22"/>
                <w:szCs w:val="22"/>
              </w:rPr>
              <w:t>6#</w:t>
            </w:r>
          </w:p>
        </w:tc>
        <w:tc>
          <w:tcPr>
            <w:tcW w:w="942" w:type="pct"/>
            <w:noWrap/>
            <w:vAlign w:val="center"/>
          </w:tcPr>
          <w:p w14:paraId="1A6B4CFD">
            <w:pPr>
              <w:widowControl/>
              <w:jc w:val="center"/>
              <w:rPr>
                <w:kern w:val="0"/>
                <w:sz w:val="22"/>
                <w:szCs w:val="22"/>
              </w:rPr>
            </w:pPr>
            <w:r>
              <w:rPr>
                <w:kern w:val="0"/>
                <w:sz w:val="22"/>
                <w:szCs w:val="22"/>
              </w:rPr>
              <w:t xml:space="preserve">-0.22 </w:t>
            </w:r>
          </w:p>
        </w:tc>
        <w:tc>
          <w:tcPr>
            <w:tcW w:w="942" w:type="pct"/>
            <w:noWrap/>
            <w:vAlign w:val="center"/>
          </w:tcPr>
          <w:p w14:paraId="39D56371">
            <w:pPr>
              <w:widowControl/>
              <w:jc w:val="center"/>
              <w:rPr>
                <w:kern w:val="0"/>
                <w:sz w:val="22"/>
                <w:szCs w:val="22"/>
              </w:rPr>
            </w:pPr>
            <w:r>
              <w:rPr>
                <w:kern w:val="0"/>
                <w:sz w:val="22"/>
                <w:szCs w:val="22"/>
              </w:rPr>
              <w:t xml:space="preserve">29.00 </w:t>
            </w:r>
          </w:p>
        </w:tc>
        <w:tc>
          <w:tcPr>
            <w:tcW w:w="942" w:type="pct"/>
            <w:noWrap/>
            <w:vAlign w:val="center"/>
          </w:tcPr>
          <w:p w14:paraId="61480B2F">
            <w:pPr>
              <w:widowControl/>
              <w:jc w:val="center"/>
              <w:rPr>
                <w:kern w:val="0"/>
                <w:sz w:val="22"/>
                <w:szCs w:val="22"/>
              </w:rPr>
            </w:pPr>
            <w:r>
              <w:rPr>
                <w:kern w:val="0"/>
                <w:sz w:val="22"/>
                <w:szCs w:val="22"/>
              </w:rPr>
              <w:t xml:space="preserve">-0.09 </w:t>
            </w:r>
          </w:p>
        </w:tc>
        <w:tc>
          <w:tcPr>
            <w:tcW w:w="943" w:type="pct"/>
            <w:noWrap/>
            <w:vAlign w:val="center"/>
          </w:tcPr>
          <w:p w14:paraId="03DFBEE5">
            <w:pPr>
              <w:widowControl/>
              <w:jc w:val="center"/>
              <w:rPr>
                <w:kern w:val="0"/>
                <w:sz w:val="22"/>
                <w:szCs w:val="22"/>
              </w:rPr>
            </w:pPr>
            <w:r>
              <w:rPr>
                <w:kern w:val="0"/>
                <w:sz w:val="22"/>
                <w:szCs w:val="22"/>
              </w:rPr>
              <w:t>-0.14%</w:t>
            </w:r>
          </w:p>
        </w:tc>
      </w:tr>
      <w:tr w14:paraId="49660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restart"/>
            <w:noWrap/>
            <w:vAlign w:val="center"/>
          </w:tcPr>
          <w:p w14:paraId="5FD1B0F1">
            <w:pPr>
              <w:widowControl/>
              <w:jc w:val="center"/>
              <w:rPr>
                <w:kern w:val="0"/>
                <w:sz w:val="22"/>
                <w:szCs w:val="22"/>
              </w:rPr>
            </w:pPr>
            <w:r>
              <w:rPr>
                <w:szCs w:val="21"/>
              </w:rPr>
              <w:t>19.94</w:t>
            </w:r>
          </w:p>
        </w:tc>
        <w:tc>
          <w:tcPr>
            <w:tcW w:w="640" w:type="pct"/>
            <w:noWrap/>
            <w:vAlign w:val="center"/>
          </w:tcPr>
          <w:p w14:paraId="6461911C">
            <w:pPr>
              <w:widowControl/>
              <w:jc w:val="center"/>
              <w:rPr>
                <w:kern w:val="0"/>
                <w:sz w:val="22"/>
                <w:szCs w:val="22"/>
              </w:rPr>
            </w:pPr>
            <w:r>
              <w:rPr>
                <w:kern w:val="0"/>
                <w:sz w:val="22"/>
                <w:szCs w:val="22"/>
              </w:rPr>
              <w:t>0#</w:t>
            </w:r>
          </w:p>
        </w:tc>
        <w:tc>
          <w:tcPr>
            <w:tcW w:w="942" w:type="pct"/>
            <w:noWrap/>
            <w:vAlign w:val="center"/>
          </w:tcPr>
          <w:p w14:paraId="442C19C7">
            <w:pPr>
              <w:widowControl/>
              <w:jc w:val="center"/>
              <w:rPr>
                <w:kern w:val="0"/>
                <w:sz w:val="22"/>
                <w:szCs w:val="22"/>
              </w:rPr>
            </w:pPr>
            <w:r>
              <w:rPr>
                <w:kern w:val="0"/>
                <w:sz w:val="22"/>
                <w:szCs w:val="22"/>
              </w:rPr>
              <w:t xml:space="preserve">0.24 </w:t>
            </w:r>
          </w:p>
        </w:tc>
        <w:tc>
          <w:tcPr>
            <w:tcW w:w="942" w:type="pct"/>
            <w:noWrap/>
            <w:vAlign w:val="center"/>
          </w:tcPr>
          <w:p w14:paraId="207228CD">
            <w:pPr>
              <w:widowControl/>
              <w:jc w:val="center"/>
              <w:rPr>
                <w:kern w:val="0"/>
                <w:sz w:val="22"/>
                <w:szCs w:val="22"/>
              </w:rPr>
            </w:pPr>
            <w:r>
              <w:rPr>
                <w:kern w:val="0"/>
                <w:sz w:val="22"/>
                <w:szCs w:val="22"/>
              </w:rPr>
              <w:t xml:space="preserve">58.00 </w:t>
            </w:r>
          </w:p>
        </w:tc>
        <w:tc>
          <w:tcPr>
            <w:tcW w:w="942" w:type="pct"/>
            <w:noWrap/>
            <w:vAlign w:val="center"/>
          </w:tcPr>
          <w:p w14:paraId="03EA70D4">
            <w:pPr>
              <w:widowControl/>
              <w:jc w:val="center"/>
              <w:rPr>
                <w:kern w:val="0"/>
                <w:sz w:val="22"/>
                <w:szCs w:val="22"/>
              </w:rPr>
            </w:pPr>
          </w:p>
        </w:tc>
        <w:tc>
          <w:tcPr>
            <w:tcW w:w="943" w:type="pct"/>
            <w:noWrap/>
            <w:vAlign w:val="center"/>
          </w:tcPr>
          <w:p w14:paraId="1A6FE90C">
            <w:pPr>
              <w:widowControl/>
              <w:jc w:val="center"/>
              <w:rPr>
                <w:kern w:val="0"/>
                <w:sz w:val="22"/>
                <w:szCs w:val="22"/>
              </w:rPr>
            </w:pPr>
          </w:p>
        </w:tc>
      </w:tr>
      <w:tr w14:paraId="011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20B11FFA">
            <w:pPr>
              <w:widowControl/>
              <w:jc w:val="center"/>
              <w:rPr>
                <w:kern w:val="0"/>
                <w:sz w:val="22"/>
                <w:szCs w:val="22"/>
              </w:rPr>
            </w:pPr>
          </w:p>
        </w:tc>
        <w:tc>
          <w:tcPr>
            <w:tcW w:w="640" w:type="pct"/>
            <w:noWrap/>
            <w:vAlign w:val="center"/>
          </w:tcPr>
          <w:p w14:paraId="4F1EB57E">
            <w:pPr>
              <w:widowControl/>
              <w:jc w:val="center"/>
              <w:rPr>
                <w:kern w:val="0"/>
                <w:sz w:val="22"/>
                <w:szCs w:val="22"/>
              </w:rPr>
            </w:pPr>
            <w:r>
              <w:rPr>
                <w:kern w:val="0"/>
                <w:sz w:val="22"/>
                <w:szCs w:val="22"/>
              </w:rPr>
              <w:t>1#</w:t>
            </w:r>
          </w:p>
        </w:tc>
        <w:tc>
          <w:tcPr>
            <w:tcW w:w="942" w:type="pct"/>
            <w:noWrap/>
            <w:vAlign w:val="center"/>
          </w:tcPr>
          <w:p w14:paraId="2B9896DA">
            <w:pPr>
              <w:widowControl/>
              <w:jc w:val="center"/>
              <w:rPr>
                <w:kern w:val="0"/>
                <w:sz w:val="22"/>
                <w:szCs w:val="22"/>
              </w:rPr>
            </w:pPr>
            <w:r>
              <w:rPr>
                <w:kern w:val="0"/>
                <w:sz w:val="22"/>
                <w:szCs w:val="22"/>
              </w:rPr>
              <w:t xml:space="preserve">0.38 </w:t>
            </w:r>
          </w:p>
        </w:tc>
        <w:tc>
          <w:tcPr>
            <w:tcW w:w="942" w:type="pct"/>
            <w:noWrap/>
            <w:vAlign w:val="center"/>
          </w:tcPr>
          <w:p w14:paraId="3A182F05">
            <w:pPr>
              <w:widowControl/>
              <w:jc w:val="center"/>
              <w:rPr>
                <w:kern w:val="0"/>
                <w:sz w:val="22"/>
                <w:szCs w:val="22"/>
              </w:rPr>
            </w:pPr>
            <w:r>
              <w:rPr>
                <w:kern w:val="0"/>
                <w:sz w:val="22"/>
                <w:szCs w:val="22"/>
              </w:rPr>
              <w:t xml:space="preserve">58.21 </w:t>
            </w:r>
          </w:p>
        </w:tc>
        <w:tc>
          <w:tcPr>
            <w:tcW w:w="942" w:type="pct"/>
            <w:noWrap/>
            <w:vAlign w:val="center"/>
          </w:tcPr>
          <w:p w14:paraId="7A294C92">
            <w:pPr>
              <w:widowControl/>
              <w:jc w:val="center"/>
              <w:rPr>
                <w:kern w:val="0"/>
                <w:sz w:val="22"/>
                <w:szCs w:val="22"/>
              </w:rPr>
            </w:pPr>
            <w:r>
              <w:rPr>
                <w:kern w:val="0"/>
                <w:sz w:val="22"/>
                <w:szCs w:val="22"/>
              </w:rPr>
              <w:t xml:space="preserve">0.14 </w:t>
            </w:r>
          </w:p>
        </w:tc>
        <w:tc>
          <w:tcPr>
            <w:tcW w:w="943" w:type="pct"/>
            <w:noWrap/>
            <w:vAlign w:val="center"/>
          </w:tcPr>
          <w:p w14:paraId="561AEF3E">
            <w:pPr>
              <w:widowControl/>
              <w:jc w:val="center"/>
              <w:rPr>
                <w:kern w:val="0"/>
                <w:sz w:val="22"/>
                <w:szCs w:val="22"/>
              </w:rPr>
            </w:pPr>
            <w:r>
              <w:rPr>
                <w:kern w:val="0"/>
                <w:sz w:val="22"/>
                <w:szCs w:val="22"/>
              </w:rPr>
              <w:t>0.07%</w:t>
            </w:r>
          </w:p>
        </w:tc>
      </w:tr>
      <w:tr w14:paraId="6B03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4D128E33">
            <w:pPr>
              <w:widowControl/>
              <w:jc w:val="center"/>
              <w:rPr>
                <w:kern w:val="0"/>
                <w:sz w:val="22"/>
                <w:szCs w:val="22"/>
              </w:rPr>
            </w:pPr>
          </w:p>
        </w:tc>
        <w:tc>
          <w:tcPr>
            <w:tcW w:w="640" w:type="pct"/>
            <w:noWrap/>
            <w:vAlign w:val="center"/>
          </w:tcPr>
          <w:p w14:paraId="51825D59">
            <w:pPr>
              <w:widowControl/>
              <w:jc w:val="center"/>
              <w:rPr>
                <w:kern w:val="0"/>
                <w:sz w:val="22"/>
                <w:szCs w:val="22"/>
              </w:rPr>
            </w:pPr>
            <w:r>
              <w:rPr>
                <w:kern w:val="0"/>
                <w:sz w:val="22"/>
                <w:szCs w:val="22"/>
              </w:rPr>
              <w:t>2#</w:t>
            </w:r>
          </w:p>
        </w:tc>
        <w:tc>
          <w:tcPr>
            <w:tcW w:w="942" w:type="pct"/>
            <w:noWrap/>
            <w:vAlign w:val="center"/>
          </w:tcPr>
          <w:p w14:paraId="36CCF2D7">
            <w:pPr>
              <w:widowControl/>
              <w:jc w:val="center"/>
              <w:rPr>
                <w:kern w:val="0"/>
                <w:sz w:val="22"/>
                <w:szCs w:val="22"/>
              </w:rPr>
            </w:pPr>
            <w:r>
              <w:rPr>
                <w:kern w:val="0"/>
                <w:sz w:val="22"/>
                <w:szCs w:val="22"/>
              </w:rPr>
              <w:t xml:space="preserve">0.47 </w:t>
            </w:r>
          </w:p>
        </w:tc>
        <w:tc>
          <w:tcPr>
            <w:tcW w:w="942" w:type="pct"/>
            <w:noWrap/>
            <w:vAlign w:val="center"/>
          </w:tcPr>
          <w:p w14:paraId="5DFA601F">
            <w:pPr>
              <w:widowControl/>
              <w:jc w:val="center"/>
              <w:rPr>
                <w:kern w:val="0"/>
                <w:sz w:val="22"/>
                <w:szCs w:val="22"/>
              </w:rPr>
            </w:pPr>
            <w:r>
              <w:rPr>
                <w:kern w:val="0"/>
                <w:sz w:val="22"/>
                <w:szCs w:val="22"/>
              </w:rPr>
              <w:t xml:space="preserve">58.23 </w:t>
            </w:r>
          </w:p>
        </w:tc>
        <w:tc>
          <w:tcPr>
            <w:tcW w:w="942" w:type="pct"/>
            <w:noWrap/>
            <w:vAlign w:val="center"/>
          </w:tcPr>
          <w:p w14:paraId="3D45F206">
            <w:pPr>
              <w:widowControl/>
              <w:jc w:val="center"/>
              <w:rPr>
                <w:kern w:val="0"/>
                <w:sz w:val="22"/>
                <w:szCs w:val="22"/>
              </w:rPr>
            </w:pPr>
            <w:r>
              <w:rPr>
                <w:kern w:val="0"/>
                <w:sz w:val="22"/>
                <w:szCs w:val="22"/>
              </w:rPr>
              <w:t xml:space="preserve">0.23 </w:t>
            </w:r>
          </w:p>
        </w:tc>
        <w:tc>
          <w:tcPr>
            <w:tcW w:w="943" w:type="pct"/>
            <w:noWrap/>
            <w:vAlign w:val="center"/>
          </w:tcPr>
          <w:p w14:paraId="4DFBF486">
            <w:pPr>
              <w:widowControl/>
              <w:jc w:val="center"/>
              <w:rPr>
                <w:kern w:val="0"/>
                <w:sz w:val="22"/>
                <w:szCs w:val="22"/>
              </w:rPr>
            </w:pPr>
            <w:r>
              <w:rPr>
                <w:kern w:val="0"/>
                <w:sz w:val="22"/>
                <w:szCs w:val="22"/>
              </w:rPr>
              <w:t>0.00%</w:t>
            </w:r>
          </w:p>
        </w:tc>
      </w:tr>
      <w:tr w14:paraId="117D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3F1B1044">
            <w:pPr>
              <w:widowControl/>
              <w:jc w:val="center"/>
              <w:rPr>
                <w:kern w:val="0"/>
                <w:sz w:val="22"/>
                <w:szCs w:val="22"/>
              </w:rPr>
            </w:pPr>
          </w:p>
        </w:tc>
        <w:tc>
          <w:tcPr>
            <w:tcW w:w="640" w:type="pct"/>
            <w:noWrap/>
            <w:vAlign w:val="center"/>
          </w:tcPr>
          <w:p w14:paraId="40CA4173">
            <w:pPr>
              <w:widowControl/>
              <w:jc w:val="center"/>
              <w:rPr>
                <w:kern w:val="0"/>
                <w:sz w:val="22"/>
                <w:szCs w:val="22"/>
              </w:rPr>
            </w:pPr>
            <w:r>
              <w:rPr>
                <w:kern w:val="0"/>
                <w:sz w:val="22"/>
                <w:szCs w:val="22"/>
              </w:rPr>
              <w:t>3#</w:t>
            </w:r>
          </w:p>
        </w:tc>
        <w:tc>
          <w:tcPr>
            <w:tcW w:w="942" w:type="pct"/>
            <w:noWrap/>
            <w:vAlign w:val="center"/>
          </w:tcPr>
          <w:p w14:paraId="41F45924">
            <w:pPr>
              <w:widowControl/>
              <w:jc w:val="center"/>
              <w:rPr>
                <w:kern w:val="0"/>
                <w:sz w:val="22"/>
                <w:szCs w:val="22"/>
              </w:rPr>
            </w:pPr>
            <w:r>
              <w:rPr>
                <w:kern w:val="0"/>
                <w:sz w:val="22"/>
                <w:szCs w:val="22"/>
              </w:rPr>
              <w:t xml:space="preserve">0.41 </w:t>
            </w:r>
          </w:p>
        </w:tc>
        <w:tc>
          <w:tcPr>
            <w:tcW w:w="942" w:type="pct"/>
            <w:noWrap/>
            <w:vAlign w:val="center"/>
          </w:tcPr>
          <w:p w14:paraId="14F73D1F">
            <w:pPr>
              <w:widowControl/>
              <w:jc w:val="center"/>
              <w:rPr>
                <w:kern w:val="0"/>
                <w:sz w:val="22"/>
                <w:szCs w:val="22"/>
              </w:rPr>
            </w:pPr>
            <w:r>
              <w:rPr>
                <w:kern w:val="0"/>
                <w:sz w:val="22"/>
                <w:szCs w:val="22"/>
              </w:rPr>
              <w:t xml:space="preserve">58.22 </w:t>
            </w:r>
          </w:p>
        </w:tc>
        <w:tc>
          <w:tcPr>
            <w:tcW w:w="942" w:type="pct"/>
            <w:noWrap/>
            <w:vAlign w:val="center"/>
          </w:tcPr>
          <w:p w14:paraId="33C88486">
            <w:pPr>
              <w:widowControl/>
              <w:jc w:val="center"/>
              <w:rPr>
                <w:kern w:val="0"/>
                <w:sz w:val="22"/>
                <w:szCs w:val="22"/>
              </w:rPr>
            </w:pPr>
            <w:r>
              <w:rPr>
                <w:kern w:val="0"/>
                <w:sz w:val="22"/>
                <w:szCs w:val="22"/>
              </w:rPr>
              <w:t xml:space="preserve">0.17 </w:t>
            </w:r>
          </w:p>
        </w:tc>
        <w:tc>
          <w:tcPr>
            <w:tcW w:w="943" w:type="pct"/>
            <w:noWrap/>
            <w:vAlign w:val="center"/>
          </w:tcPr>
          <w:p w14:paraId="65C2C48F">
            <w:pPr>
              <w:widowControl/>
              <w:jc w:val="center"/>
              <w:rPr>
                <w:kern w:val="0"/>
                <w:sz w:val="22"/>
                <w:szCs w:val="22"/>
              </w:rPr>
            </w:pPr>
            <w:r>
              <w:rPr>
                <w:kern w:val="0"/>
                <w:sz w:val="22"/>
                <w:szCs w:val="22"/>
              </w:rPr>
              <w:t>0.05%</w:t>
            </w:r>
          </w:p>
        </w:tc>
      </w:tr>
      <w:tr w14:paraId="5790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367DA80E">
            <w:pPr>
              <w:widowControl/>
              <w:jc w:val="center"/>
              <w:rPr>
                <w:kern w:val="0"/>
                <w:sz w:val="22"/>
                <w:szCs w:val="22"/>
              </w:rPr>
            </w:pPr>
          </w:p>
        </w:tc>
        <w:tc>
          <w:tcPr>
            <w:tcW w:w="640" w:type="pct"/>
            <w:noWrap/>
            <w:vAlign w:val="center"/>
          </w:tcPr>
          <w:p w14:paraId="776B260B">
            <w:pPr>
              <w:widowControl/>
              <w:jc w:val="center"/>
              <w:rPr>
                <w:kern w:val="0"/>
                <w:sz w:val="22"/>
                <w:szCs w:val="22"/>
              </w:rPr>
            </w:pPr>
            <w:r>
              <w:rPr>
                <w:kern w:val="0"/>
                <w:sz w:val="22"/>
                <w:szCs w:val="22"/>
              </w:rPr>
              <w:t>4#</w:t>
            </w:r>
          </w:p>
        </w:tc>
        <w:tc>
          <w:tcPr>
            <w:tcW w:w="942" w:type="pct"/>
            <w:noWrap/>
            <w:vAlign w:val="center"/>
          </w:tcPr>
          <w:p w14:paraId="51623423">
            <w:pPr>
              <w:widowControl/>
              <w:jc w:val="center"/>
              <w:rPr>
                <w:kern w:val="0"/>
                <w:sz w:val="22"/>
                <w:szCs w:val="22"/>
              </w:rPr>
            </w:pPr>
            <w:r>
              <w:rPr>
                <w:kern w:val="0"/>
                <w:sz w:val="22"/>
                <w:szCs w:val="22"/>
              </w:rPr>
              <w:t xml:space="preserve">0.41 </w:t>
            </w:r>
          </w:p>
        </w:tc>
        <w:tc>
          <w:tcPr>
            <w:tcW w:w="942" w:type="pct"/>
            <w:noWrap/>
            <w:vAlign w:val="center"/>
          </w:tcPr>
          <w:p w14:paraId="2ABCAC43">
            <w:pPr>
              <w:widowControl/>
              <w:jc w:val="center"/>
              <w:rPr>
                <w:kern w:val="0"/>
                <w:sz w:val="22"/>
                <w:szCs w:val="22"/>
              </w:rPr>
            </w:pPr>
            <w:r>
              <w:rPr>
                <w:kern w:val="0"/>
                <w:sz w:val="22"/>
                <w:szCs w:val="22"/>
              </w:rPr>
              <w:t xml:space="preserve">58.17 </w:t>
            </w:r>
          </w:p>
        </w:tc>
        <w:tc>
          <w:tcPr>
            <w:tcW w:w="942" w:type="pct"/>
            <w:noWrap/>
            <w:vAlign w:val="center"/>
          </w:tcPr>
          <w:p w14:paraId="2C5A659A">
            <w:pPr>
              <w:widowControl/>
              <w:jc w:val="center"/>
              <w:rPr>
                <w:kern w:val="0"/>
                <w:sz w:val="22"/>
                <w:szCs w:val="22"/>
              </w:rPr>
            </w:pPr>
            <w:r>
              <w:rPr>
                <w:kern w:val="0"/>
                <w:sz w:val="22"/>
                <w:szCs w:val="22"/>
              </w:rPr>
              <w:t xml:space="preserve">0.17 </w:t>
            </w:r>
          </w:p>
        </w:tc>
        <w:tc>
          <w:tcPr>
            <w:tcW w:w="943" w:type="pct"/>
            <w:noWrap/>
            <w:vAlign w:val="center"/>
          </w:tcPr>
          <w:p w14:paraId="041C8CD3">
            <w:pPr>
              <w:widowControl/>
              <w:jc w:val="center"/>
              <w:rPr>
                <w:kern w:val="0"/>
                <w:sz w:val="22"/>
                <w:szCs w:val="22"/>
              </w:rPr>
            </w:pPr>
            <w:r>
              <w:rPr>
                <w:kern w:val="0"/>
                <w:sz w:val="22"/>
                <w:szCs w:val="22"/>
              </w:rPr>
              <w:t>0.00%</w:t>
            </w:r>
          </w:p>
        </w:tc>
      </w:tr>
      <w:tr w14:paraId="75FB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2260E5F2">
            <w:pPr>
              <w:widowControl/>
              <w:jc w:val="center"/>
              <w:rPr>
                <w:kern w:val="0"/>
                <w:sz w:val="22"/>
                <w:szCs w:val="22"/>
              </w:rPr>
            </w:pPr>
          </w:p>
        </w:tc>
        <w:tc>
          <w:tcPr>
            <w:tcW w:w="640" w:type="pct"/>
            <w:noWrap/>
            <w:vAlign w:val="center"/>
          </w:tcPr>
          <w:p w14:paraId="38B81B35">
            <w:pPr>
              <w:widowControl/>
              <w:jc w:val="center"/>
              <w:rPr>
                <w:kern w:val="0"/>
                <w:sz w:val="22"/>
                <w:szCs w:val="22"/>
              </w:rPr>
            </w:pPr>
            <w:r>
              <w:rPr>
                <w:kern w:val="0"/>
                <w:sz w:val="22"/>
                <w:szCs w:val="22"/>
              </w:rPr>
              <w:t>5#</w:t>
            </w:r>
          </w:p>
        </w:tc>
        <w:tc>
          <w:tcPr>
            <w:tcW w:w="942" w:type="pct"/>
            <w:noWrap/>
            <w:vAlign w:val="center"/>
          </w:tcPr>
          <w:p w14:paraId="6C0954D8">
            <w:pPr>
              <w:widowControl/>
              <w:jc w:val="center"/>
              <w:rPr>
                <w:kern w:val="0"/>
                <w:sz w:val="22"/>
                <w:szCs w:val="22"/>
              </w:rPr>
            </w:pPr>
            <w:r>
              <w:rPr>
                <w:kern w:val="0"/>
                <w:sz w:val="22"/>
                <w:szCs w:val="22"/>
              </w:rPr>
              <w:t xml:space="preserve">0.38 </w:t>
            </w:r>
          </w:p>
        </w:tc>
        <w:tc>
          <w:tcPr>
            <w:tcW w:w="942" w:type="pct"/>
            <w:noWrap/>
            <w:vAlign w:val="center"/>
          </w:tcPr>
          <w:p w14:paraId="7B4D11F6">
            <w:pPr>
              <w:widowControl/>
              <w:jc w:val="center"/>
              <w:rPr>
                <w:kern w:val="0"/>
                <w:sz w:val="22"/>
                <w:szCs w:val="22"/>
              </w:rPr>
            </w:pPr>
            <w:r>
              <w:rPr>
                <w:kern w:val="0"/>
                <w:sz w:val="22"/>
                <w:szCs w:val="22"/>
              </w:rPr>
              <w:t xml:space="preserve">58.01 </w:t>
            </w:r>
          </w:p>
        </w:tc>
        <w:tc>
          <w:tcPr>
            <w:tcW w:w="942" w:type="pct"/>
            <w:noWrap/>
            <w:vAlign w:val="center"/>
          </w:tcPr>
          <w:p w14:paraId="68A3E0F7">
            <w:pPr>
              <w:widowControl/>
              <w:jc w:val="center"/>
              <w:rPr>
                <w:kern w:val="0"/>
                <w:sz w:val="22"/>
                <w:szCs w:val="22"/>
              </w:rPr>
            </w:pPr>
            <w:r>
              <w:rPr>
                <w:kern w:val="0"/>
                <w:sz w:val="22"/>
                <w:szCs w:val="22"/>
              </w:rPr>
              <w:t xml:space="preserve">0.14 </w:t>
            </w:r>
          </w:p>
        </w:tc>
        <w:tc>
          <w:tcPr>
            <w:tcW w:w="943" w:type="pct"/>
            <w:noWrap/>
            <w:vAlign w:val="center"/>
          </w:tcPr>
          <w:p w14:paraId="16F0BA09">
            <w:pPr>
              <w:widowControl/>
              <w:jc w:val="center"/>
              <w:rPr>
                <w:kern w:val="0"/>
                <w:sz w:val="22"/>
                <w:szCs w:val="22"/>
              </w:rPr>
            </w:pPr>
            <w:r>
              <w:rPr>
                <w:kern w:val="0"/>
                <w:sz w:val="22"/>
                <w:szCs w:val="22"/>
              </w:rPr>
              <w:t>-0.13%</w:t>
            </w:r>
          </w:p>
        </w:tc>
      </w:tr>
      <w:tr w14:paraId="78864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55B3821E">
            <w:pPr>
              <w:widowControl/>
              <w:jc w:val="center"/>
              <w:rPr>
                <w:kern w:val="0"/>
                <w:sz w:val="22"/>
                <w:szCs w:val="22"/>
              </w:rPr>
            </w:pPr>
          </w:p>
        </w:tc>
        <w:tc>
          <w:tcPr>
            <w:tcW w:w="640" w:type="pct"/>
            <w:noWrap/>
            <w:vAlign w:val="center"/>
          </w:tcPr>
          <w:p w14:paraId="77E20AA2">
            <w:pPr>
              <w:widowControl/>
              <w:jc w:val="center"/>
              <w:rPr>
                <w:kern w:val="0"/>
                <w:sz w:val="22"/>
                <w:szCs w:val="22"/>
              </w:rPr>
            </w:pPr>
            <w:r>
              <w:rPr>
                <w:kern w:val="0"/>
                <w:sz w:val="22"/>
                <w:szCs w:val="22"/>
              </w:rPr>
              <w:t>6#</w:t>
            </w:r>
          </w:p>
        </w:tc>
        <w:tc>
          <w:tcPr>
            <w:tcW w:w="942" w:type="pct"/>
            <w:noWrap/>
            <w:vAlign w:val="center"/>
          </w:tcPr>
          <w:p w14:paraId="7B734BD9">
            <w:pPr>
              <w:widowControl/>
              <w:jc w:val="center"/>
              <w:rPr>
                <w:kern w:val="0"/>
                <w:sz w:val="22"/>
                <w:szCs w:val="22"/>
              </w:rPr>
            </w:pPr>
            <w:r>
              <w:rPr>
                <w:kern w:val="0"/>
                <w:sz w:val="22"/>
                <w:szCs w:val="22"/>
              </w:rPr>
              <w:t xml:space="preserve">0.37 </w:t>
            </w:r>
          </w:p>
        </w:tc>
        <w:tc>
          <w:tcPr>
            <w:tcW w:w="942" w:type="pct"/>
            <w:noWrap/>
            <w:vAlign w:val="center"/>
          </w:tcPr>
          <w:p w14:paraId="4D20682F">
            <w:pPr>
              <w:widowControl/>
              <w:jc w:val="center"/>
              <w:rPr>
                <w:kern w:val="0"/>
                <w:sz w:val="22"/>
                <w:szCs w:val="22"/>
              </w:rPr>
            </w:pPr>
            <w:r>
              <w:rPr>
                <w:kern w:val="0"/>
                <w:sz w:val="22"/>
                <w:szCs w:val="22"/>
              </w:rPr>
              <w:t xml:space="preserve">58.16 </w:t>
            </w:r>
          </w:p>
        </w:tc>
        <w:tc>
          <w:tcPr>
            <w:tcW w:w="942" w:type="pct"/>
            <w:noWrap/>
            <w:vAlign w:val="center"/>
          </w:tcPr>
          <w:p w14:paraId="49801CBE">
            <w:pPr>
              <w:widowControl/>
              <w:jc w:val="center"/>
              <w:rPr>
                <w:kern w:val="0"/>
                <w:sz w:val="22"/>
                <w:szCs w:val="22"/>
              </w:rPr>
            </w:pPr>
            <w:r>
              <w:rPr>
                <w:kern w:val="0"/>
                <w:sz w:val="22"/>
                <w:szCs w:val="22"/>
              </w:rPr>
              <w:t xml:space="preserve">0.13 </w:t>
            </w:r>
          </w:p>
        </w:tc>
        <w:tc>
          <w:tcPr>
            <w:tcW w:w="943" w:type="pct"/>
            <w:noWrap/>
            <w:vAlign w:val="center"/>
          </w:tcPr>
          <w:p w14:paraId="1EFB9EC0">
            <w:pPr>
              <w:widowControl/>
              <w:jc w:val="center"/>
              <w:rPr>
                <w:kern w:val="0"/>
                <w:sz w:val="22"/>
                <w:szCs w:val="22"/>
              </w:rPr>
            </w:pPr>
            <w:r>
              <w:rPr>
                <w:kern w:val="0"/>
                <w:sz w:val="22"/>
                <w:szCs w:val="22"/>
              </w:rPr>
              <w:t>0.03%</w:t>
            </w:r>
          </w:p>
        </w:tc>
      </w:tr>
      <w:tr w14:paraId="55849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restart"/>
            <w:noWrap/>
            <w:vAlign w:val="center"/>
          </w:tcPr>
          <w:p w14:paraId="0E712E13">
            <w:pPr>
              <w:widowControl/>
              <w:jc w:val="center"/>
              <w:rPr>
                <w:kern w:val="0"/>
                <w:sz w:val="22"/>
                <w:szCs w:val="22"/>
              </w:rPr>
            </w:pPr>
            <w:r>
              <w:rPr>
                <w:szCs w:val="21"/>
              </w:rPr>
              <w:t>29.94</w:t>
            </w:r>
          </w:p>
        </w:tc>
        <w:tc>
          <w:tcPr>
            <w:tcW w:w="640" w:type="pct"/>
            <w:noWrap/>
            <w:vAlign w:val="center"/>
          </w:tcPr>
          <w:p w14:paraId="6217F4CE">
            <w:pPr>
              <w:widowControl/>
              <w:jc w:val="center"/>
              <w:rPr>
                <w:kern w:val="0"/>
                <w:sz w:val="22"/>
                <w:szCs w:val="22"/>
              </w:rPr>
            </w:pPr>
            <w:r>
              <w:rPr>
                <w:kern w:val="0"/>
                <w:sz w:val="22"/>
                <w:szCs w:val="22"/>
              </w:rPr>
              <w:t>0#</w:t>
            </w:r>
          </w:p>
        </w:tc>
        <w:tc>
          <w:tcPr>
            <w:tcW w:w="942" w:type="pct"/>
            <w:noWrap/>
            <w:vAlign w:val="center"/>
          </w:tcPr>
          <w:p w14:paraId="2007ABCD">
            <w:pPr>
              <w:widowControl/>
              <w:jc w:val="center"/>
              <w:rPr>
                <w:kern w:val="0"/>
                <w:sz w:val="22"/>
                <w:szCs w:val="22"/>
              </w:rPr>
            </w:pPr>
            <w:r>
              <w:rPr>
                <w:kern w:val="0"/>
                <w:sz w:val="22"/>
                <w:szCs w:val="22"/>
              </w:rPr>
              <w:t xml:space="preserve">-0.07 </w:t>
            </w:r>
          </w:p>
        </w:tc>
        <w:tc>
          <w:tcPr>
            <w:tcW w:w="942" w:type="pct"/>
            <w:noWrap/>
            <w:vAlign w:val="center"/>
          </w:tcPr>
          <w:p w14:paraId="0D806ED4">
            <w:pPr>
              <w:widowControl/>
              <w:jc w:val="center"/>
              <w:rPr>
                <w:kern w:val="0"/>
                <w:sz w:val="22"/>
                <w:szCs w:val="22"/>
              </w:rPr>
            </w:pPr>
            <w:r>
              <w:rPr>
                <w:kern w:val="0"/>
                <w:sz w:val="22"/>
                <w:szCs w:val="22"/>
              </w:rPr>
              <w:t xml:space="preserve">88.51 </w:t>
            </w:r>
          </w:p>
        </w:tc>
        <w:tc>
          <w:tcPr>
            <w:tcW w:w="942" w:type="pct"/>
            <w:noWrap/>
            <w:vAlign w:val="center"/>
          </w:tcPr>
          <w:p w14:paraId="3215692B">
            <w:pPr>
              <w:widowControl/>
              <w:jc w:val="center"/>
              <w:rPr>
                <w:kern w:val="0"/>
                <w:sz w:val="22"/>
                <w:szCs w:val="22"/>
              </w:rPr>
            </w:pPr>
          </w:p>
        </w:tc>
        <w:tc>
          <w:tcPr>
            <w:tcW w:w="943" w:type="pct"/>
            <w:noWrap/>
            <w:vAlign w:val="center"/>
          </w:tcPr>
          <w:p w14:paraId="7603FEF3">
            <w:pPr>
              <w:widowControl/>
              <w:jc w:val="center"/>
              <w:rPr>
                <w:kern w:val="0"/>
                <w:sz w:val="22"/>
                <w:szCs w:val="22"/>
              </w:rPr>
            </w:pPr>
          </w:p>
        </w:tc>
      </w:tr>
      <w:tr w14:paraId="07D6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244F0FFB">
            <w:pPr>
              <w:widowControl/>
              <w:jc w:val="center"/>
              <w:rPr>
                <w:kern w:val="0"/>
                <w:sz w:val="22"/>
                <w:szCs w:val="22"/>
              </w:rPr>
            </w:pPr>
          </w:p>
        </w:tc>
        <w:tc>
          <w:tcPr>
            <w:tcW w:w="640" w:type="pct"/>
            <w:noWrap/>
            <w:vAlign w:val="center"/>
          </w:tcPr>
          <w:p w14:paraId="50025EE0">
            <w:pPr>
              <w:widowControl/>
              <w:jc w:val="center"/>
              <w:rPr>
                <w:kern w:val="0"/>
                <w:sz w:val="22"/>
                <w:szCs w:val="22"/>
              </w:rPr>
            </w:pPr>
            <w:r>
              <w:rPr>
                <w:kern w:val="0"/>
                <w:sz w:val="22"/>
                <w:szCs w:val="22"/>
              </w:rPr>
              <w:t>1#</w:t>
            </w:r>
          </w:p>
        </w:tc>
        <w:tc>
          <w:tcPr>
            <w:tcW w:w="942" w:type="pct"/>
            <w:noWrap/>
            <w:vAlign w:val="center"/>
          </w:tcPr>
          <w:p w14:paraId="28C29A60">
            <w:pPr>
              <w:widowControl/>
              <w:jc w:val="center"/>
              <w:rPr>
                <w:kern w:val="0"/>
                <w:sz w:val="22"/>
                <w:szCs w:val="22"/>
              </w:rPr>
            </w:pPr>
            <w:r>
              <w:rPr>
                <w:kern w:val="0"/>
                <w:sz w:val="22"/>
                <w:szCs w:val="22"/>
              </w:rPr>
              <w:t xml:space="preserve">-0.01 </w:t>
            </w:r>
          </w:p>
        </w:tc>
        <w:tc>
          <w:tcPr>
            <w:tcW w:w="942" w:type="pct"/>
            <w:noWrap/>
            <w:vAlign w:val="center"/>
          </w:tcPr>
          <w:p w14:paraId="78150B7A">
            <w:pPr>
              <w:widowControl/>
              <w:jc w:val="center"/>
              <w:rPr>
                <w:kern w:val="0"/>
                <w:sz w:val="22"/>
                <w:szCs w:val="22"/>
              </w:rPr>
            </w:pPr>
            <w:r>
              <w:rPr>
                <w:kern w:val="0"/>
                <w:sz w:val="22"/>
                <w:szCs w:val="22"/>
              </w:rPr>
              <w:t xml:space="preserve">88.40 </w:t>
            </w:r>
          </w:p>
        </w:tc>
        <w:tc>
          <w:tcPr>
            <w:tcW w:w="942" w:type="pct"/>
            <w:noWrap/>
            <w:vAlign w:val="center"/>
          </w:tcPr>
          <w:p w14:paraId="59B92CFE">
            <w:pPr>
              <w:widowControl/>
              <w:jc w:val="center"/>
              <w:rPr>
                <w:kern w:val="0"/>
                <w:sz w:val="22"/>
                <w:szCs w:val="22"/>
              </w:rPr>
            </w:pPr>
            <w:r>
              <w:rPr>
                <w:kern w:val="0"/>
                <w:sz w:val="22"/>
                <w:szCs w:val="22"/>
              </w:rPr>
              <w:t xml:space="preserve">0.06 </w:t>
            </w:r>
          </w:p>
        </w:tc>
        <w:tc>
          <w:tcPr>
            <w:tcW w:w="943" w:type="pct"/>
            <w:noWrap/>
            <w:vAlign w:val="center"/>
          </w:tcPr>
          <w:p w14:paraId="57C842DD">
            <w:pPr>
              <w:widowControl/>
              <w:jc w:val="center"/>
              <w:rPr>
                <w:kern w:val="0"/>
                <w:sz w:val="22"/>
                <w:szCs w:val="22"/>
              </w:rPr>
            </w:pPr>
            <w:r>
              <w:rPr>
                <w:kern w:val="0"/>
                <w:sz w:val="22"/>
                <w:szCs w:val="22"/>
              </w:rPr>
              <w:t>-0.11%</w:t>
            </w:r>
          </w:p>
        </w:tc>
      </w:tr>
      <w:tr w14:paraId="6C79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316F5525">
            <w:pPr>
              <w:widowControl/>
              <w:jc w:val="center"/>
              <w:rPr>
                <w:kern w:val="0"/>
                <w:sz w:val="22"/>
                <w:szCs w:val="22"/>
              </w:rPr>
            </w:pPr>
          </w:p>
        </w:tc>
        <w:tc>
          <w:tcPr>
            <w:tcW w:w="640" w:type="pct"/>
            <w:noWrap/>
            <w:vAlign w:val="center"/>
          </w:tcPr>
          <w:p w14:paraId="45093791">
            <w:pPr>
              <w:widowControl/>
              <w:jc w:val="center"/>
              <w:rPr>
                <w:kern w:val="0"/>
                <w:sz w:val="22"/>
                <w:szCs w:val="22"/>
              </w:rPr>
            </w:pPr>
            <w:r>
              <w:rPr>
                <w:kern w:val="0"/>
                <w:sz w:val="22"/>
                <w:szCs w:val="22"/>
              </w:rPr>
              <w:t>2#</w:t>
            </w:r>
          </w:p>
        </w:tc>
        <w:tc>
          <w:tcPr>
            <w:tcW w:w="942" w:type="pct"/>
            <w:noWrap/>
            <w:vAlign w:val="center"/>
          </w:tcPr>
          <w:p w14:paraId="255276F5">
            <w:pPr>
              <w:widowControl/>
              <w:jc w:val="center"/>
              <w:rPr>
                <w:kern w:val="0"/>
                <w:sz w:val="22"/>
                <w:szCs w:val="22"/>
              </w:rPr>
            </w:pPr>
            <w:r>
              <w:rPr>
                <w:kern w:val="0"/>
                <w:sz w:val="22"/>
                <w:szCs w:val="22"/>
              </w:rPr>
              <w:t xml:space="preserve">-0.06 </w:t>
            </w:r>
          </w:p>
        </w:tc>
        <w:tc>
          <w:tcPr>
            <w:tcW w:w="942" w:type="pct"/>
            <w:noWrap/>
            <w:vAlign w:val="center"/>
          </w:tcPr>
          <w:p w14:paraId="4B02599B">
            <w:pPr>
              <w:widowControl/>
              <w:jc w:val="center"/>
              <w:rPr>
                <w:kern w:val="0"/>
                <w:sz w:val="22"/>
                <w:szCs w:val="22"/>
              </w:rPr>
            </w:pPr>
            <w:r>
              <w:rPr>
                <w:kern w:val="0"/>
                <w:sz w:val="22"/>
                <w:szCs w:val="22"/>
              </w:rPr>
              <w:t xml:space="preserve">88.42 </w:t>
            </w:r>
          </w:p>
        </w:tc>
        <w:tc>
          <w:tcPr>
            <w:tcW w:w="942" w:type="pct"/>
            <w:noWrap/>
            <w:vAlign w:val="center"/>
          </w:tcPr>
          <w:p w14:paraId="37479F8C">
            <w:pPr>
              <w:widowControl/>
              <w:jc w:val="center"/>
              <w:rPr>
                <w:kern w:val="0"/>
                <w:sz w:val="22"/>
                <w:szCs w:val="22"/>
              </w:rPr>
            </w:pPr>
            <w:r>
              <w:rPr>
                <w:kern w:val="0"/>
                <w:sz w:val="22"/>
                <w:szCs w:val="22"/>
              </w:rPr>
              <w:t xml:space="preserve">0.01 </w:t>
            </w:r>
          </w:p>
        </w:tc>
        <w:tc>
          <w:tcPr>
            <w:tcW w:w="943" w:type="pct"/>
            <w:noWrap/>
            <w:vAlign w:val="center"/>
          </w:tcPr>
          <w:p w14:paraId="0604F1B9">
            <w:pPr>
              <w:widowControl/>
              <w:jc w:val="center"/>
              <w:rPr>
                <w:kern w:val="0"/>
                <w:sz w:val="22"/>
                <w:szCs w:val="22"/>
              </w:rPr>
            </w:pPr>
            <w:r>
              <w:rPr>
                <w:kern w:val="0"/>
                <w:sz w:val="22"/>
                <w:szCs w:val="22"/>
              </w:rPr>
              <w:t>-0.04%</w:t>
            </w:r>
          </w:p>
        </w:tc>
      </w:tr>
      <w:tr w14:paraId="221C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01FCBE5D">
            <w:pPr>
              <w:widowControl/>
              <w:jc w:val="center"/>
              <w:rPr>
                <w:kern w:val="0"/>
                <w:sz w:val="22"/>
                <w:szCs w:val="22"/>
              </w:rPr>
            </w:pPr>
          </w:p>
        </w:tc>
        <w:tc>
          <w:tcPr>
            <w:tcW w:w="640" w:type="pct"/>
            <w:noWrap/>
            <w:vAlign w:val="center"/>
          </w:tcPr>
          <w:p w14:paraId="43ACDA4C">
            <w:pPr>
              <w:widowControl/>
              <w:jc w:val="center"/>
              <w:rPr>
                <w:kern w:val="0"/>
                <w:sz w:val="22"/>
                <w:szCs w:val="22"/>
              </w:rPr>
            </w:pPr>
            <w:r>
              <w:rPr>
                <w:kern w:val="0"/>
                <w:sz w:val="22"/>
                <w:szCs w:val="22"/>
              </w:rPr>
              <w:t>3#</w:t>
            </w:r>
          </w:p>
        </w:tc>
        <w:tc>
          <w:tcPr>
            <w:tcW w:w="942" w:type="pct"/>
            <w:noWrap/>
            <w:vAlign w:val="center"/>
          </w:tcPr>
          <w:p w14:paraId="3AD7DCC4">
            <w:pPr>
              <w:widowControl/>
              <w:jc w:val="center"/>
              <w:rPr>
                <w:kern w:val="0"/>
                <w:sz w:val="22"/>
                <w:szCs w:val="22"/>
              </w:rPr>
            </w:pPr>
            <w:r>
              <w:rPr>
                <w:kern w:val="0"/>
                <w:sz w:val="22"/>
                <w:szCs w:val="22"/>
              </w:rPr>
              <w:t xml:space="preserve">-0.07 </w:t>
            </w:r>
          </w:p>
        </w:tc>
        <w:tc>
          <w:tcPr>
            <w:tcW w:w="942" w:type="pct"/>
            <w:noWrap/>
            <w:vAlign w:val="center"/>
          </w:tcPr>
          <w:p w14:paraId="2DB4FD04">
            <w:pPr>
              <w:widowControl/>
              <w:jc w:val="center"/>
              <w:rPr>
                <w:kern w:val="0"/>
                <w:sz w:val="22"/>
                <w:szCs w:val="22"/>
              </w:rPr>
            </w:pPr>
            <w:r>
              <w:rPr>
                <w:kern w:val="0"/>
                <w:sz w:val="22"/>
                <w:szCs w:val="22"/>
              </w:rPr>
              <w:t xml:space="preserve">88.58 </w:t>
            </w:r>
          </w:p>
        </w:tc>
        <w:tc>
          <w:tcPr>
            <w:tcW w:w="942" w:type="pct"/>
            <w:noWrap/>
            <w:vAlign w:val="center"/>
          </w:tcPr>
          <w:p w14:paraId="155FF5D5">
            <w:pPr>
              <w:widowControl/>
              <w:jc w:val="center"/>
              <w:rPr>
                <w:kern w:val="0"/>
                <w:sz w:val="22"/>
                <w:szCs w:val="22"/>
              </w:rPr>
            </w:pPr>
            <w:r>
              <w:rPr>
                <w:kern w:val="0"/>
                <w:sz w:val="22"/>
                <w:szCs w:val="22"/>
              </w:rPr>
              <w:t xml:space="preserve">0.00 </w:t>
            </w:r>
          </w:p>
        </w:tc>
        <w:tc>
          <w:tcPr>
            <w:tcW w:w="943" w:type="pct"/>
            <w:noWrap/>
            <w:vAlign w:val="center"/>
          </w:tcPr>
          <w:p w14:paraId="0DF3A558">
            <w:pPr>
              <w:widowControl/>
              <w:jc w:val="center"/>
              <w:rPr>
                <w:kern w:val="0"/>
                <w:sz w:val="22"/>
                <w:szCs w:val="22"/>
              </w:rPr>
            </w:pPr>
            <w:r>
              <w:rPr>
                <w:kern w:val="0"/>
                <w:sz w:val="22"/>
                <w:szCs w:val="22"/>
              </w:rPr>
              <w:t>0.13%</w:t>
            </w:r>
          </w:p>
        </w:tc>
      </w:tr>
      <w:tr w14:paraId="62CB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689AF676">
            <w:pPr>
              <w:widowControl/>
              <w:jc w:val="center"/>
              <w:rPr>
                <w:kern w:val="0"/>
                <w:sz w:val="22"/>
                <w:szCs w:val="22"/>
              </w:rPr>
            </w:pPr>
          </w:p>
        </w:tc>
        <w:tc>
          <w:tcPr>
            <w:tcW w:w="640" w:type="pct"/>
            <w:noWrap/>
            <w:vAlign w:val="center"/>
          </w:tcPr>
          <w:p w14:paraId="062D974F">
            <w:pPr>
              <w:widowControl/>
              <w:jc w:val="center"/>
              <w:rPr>
                <w:kern w:val="0"/>
                <w:sz w:val="22"/>
                <w:szCs w:val="22"/>
              </w:rPr>
            </w:pPr>
            <w:r>
              <w:rPr>
                <w:kern w:val="0"/>
                <w:sz w:val="22"/>
                <w:szCs w:val="22"/>
              </w:rPr>
              <w:t>4#</w:t>
            </w:r>
          </w:p>
        </w:tc>
        <w:tc>
          <w:tcPr>
            <w:tcW w:w="942" w:type="pct"/>
            <w:noWrap/>
            <w:vAlign w:val="center"/>
          </w:tcPr>
          <w:p w14:paraId="7121B4F3">
            <w:pPr>
              <w:widowControl/>
              <w:jc w:val="center"/>
              <w:rPr>
                <w:kern w:val="0"/>
                <w:sz w:val="22"/>
                <w:szCs w:val="22"/>
              </w:rPr>
            </w:pPr>
            <w:r>
              <w:rPr>
                <w:kern w:val="0"/>
                <w:sz w:val="22"/>
                <w:szCs w:val="22"/>
              </w:rPr>
              <w:t xml:space="preserve">-0.07 </w:t>
            </w:r>
          </w:p>
        </w:tc>
        <w:tc>
          <w:tcPr>
            <w:tcW w:w="942" w:type="pct"/>
            <w:noWrap/>
            <w:vAlign w:val="center"/>
          </w:tcPr>
          <w:p w14:paraId="7A0E718E">
            <w:pPr>
              <w:widowControl/>
              <w:jc w:val="center"/>
              <w:rPr>
                <w:kern w:val="0"/>
                <w:sz w:val="22"/>
                <w:szCs w:val="22"/>
              </w:rPr>
            </w:pPr>
            <w:r>
              <w:rPr>
                <w:kern w:val="0"/>
                <w:sz w:val="22"/>
                <w:szCs w:val="22"/>
              </w:rPr>
              <w:t xml:space="preserve">88.30 </w:t>
            </w:r>
          </w:p>
        </w:tc>
        <w:tc>
          <w:tcPr>
            <w:tcW w:w="942" w:type="pct"/>
            <w:noWrap/>
            <w:vAlign w:val="center"/>
          </w:tcPr>
          <w:p w14:paraId="2CFAD551">
            <w:pPr>
              <w:widowControl/>
              <w:jc w:val="center"/>
              <w:rPr>
                <w:kern w:val="0"/>
                <w:sz w:val="22"/>
                <w:szCs w:val="22"/>
              </w:rPr>
            </w:pPr>
            <w:r>
              <w:rPr>
                <w:kern w:val="0"/>
                <w:sz w:val="22"/>
                <w:szCs w:val="22"/>
              </w:rPr>
              <w:t xml:space="preserve">0.00 </w:t>
            </w:r>
          </w:p>
        </w:tc>
        <w:tc>
          <w:tcPr>
            <w:tcW w:w="943" w:type="pct"/>
            <w:noWrap/>
            <w:vAlign w:val="center"/>
          </w:tcPr>
          <w:p w14:paraId="1E8E34FC">
            <w:pPr>
              <w:widowControl/>
              <w:jc w:val="center"/>
              <w:rPr>
                <w:kern w:val="0"/>
                <w:sz w:val="22"/>
                <w:szCs w:val="22"/>
              </w:rPr>
            </w:pPr>
            <w:r>
              <w:rPr>
                <w:kern w:val="0"/>
                <w:sz w:val="22"/>
                <w:szCs w:val="22"/>
              </w:rPr>
              <w:t>-0.15%</w:t>
            </w:r>
          </w:p>
        </w:tc>
      </w:tr>
      <w:tr w14:paraId="32113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13792E3F">
            <w:pPr>
              <w:widowControl/>
              <w:jc w:val="center"/>
              <w:rPr>
                <w:kern w:val="0"/>
                <w:sz w:val="22"/>
                <w:szCs w:val="22"/>
              </w:rPr>
            </w:pPr>
          </w:p>
        </w:tc>
        <w:tc>
          <w:tcPr>
            <w:tcW w:w="640" w:type="pct"/>
            <w:noWrap/>
            <w:vAlign w:val="center"/>
          </w:tcPr>
          <w:p w14:paraId="7F8B48B2">
            <w:pPr>
              <w:widowControl/>
              <w:jc w:val="center"/>
              <w:rPr>
                <w:kern w:val="0"/>
                <w:sz w:val="22"/>
                <w:szCs w:val="22"/>
              </w:rPr>
            </w:pPr>
            <w:r>
              <w:rPr>
                <w:kern w:val="0"/>
                <w:sz w:val="22"/>
                <w:szCs w:val="22"/>
              </w:rPr>
              <w:t>5#</w:t>
            </w:r>
          </w:p>
        </w:tc>
        <w:tc>
          <w:tcPr>
            <w:tcW w:w="942" w:type="pct"/>
            <w:noWrap/>
            <w:vAlign w:val="center"/>
          </w:tcPr>
          <w:p w14:paraId="0F61E941">
            <w:pPr>
              <w:widowControl/>
              <w:jc w:val="center"/>
              <w:rPr>
                <w:kern w:val="0"/>
                <w:sz w:val="22"/>
                <w:szCs w:val="22"/>
              </w:rPr>
            </w:pPr>
            <w:r>
              <w:rPr>
                <w:kern w:val="0"/>
                <w:sz w:val="22"/>
                <w:szCs w:val="22"/>
              </w:rPr>
              <w:t xml:space="preserve">-0.05 </w:t>
            </w:r>
          </w:p>
        </w:tc>
        <w:tc>
          <w:tcPr>
            <w:tcW w:w="942" w:type="pct"/>
            <w:noWrap/>
            <w:vAlign w:val="center"/>
          </w:tcPr>
          <w:p w14:paraId="5828E199">
            <w:pPr>
              <w:widowControl/>
              <w:jc w:val="center"/>
              <w:rPr>
                <w:kern w:val="0"/>
                <w:sz w:val="22"/>
                <w:szCs w:val="22"/>
              </w:rPr>
            </w:pPr>
            <w:r>
              <w:rPr>
                <w:kern w:val="0"/>
                <w:sz w:val="22"/>
                <w:szCs w:val="22"/>
              </w:rPr>
              <w:t xml:space="preserve">88.42 </w:t>
            </w:r>
          </w:p>
        </w:tc>
        <w:tc>
          <w:tcPr>
            <w:tcW w:w="942" w:type="pct"/>
            <w:noWrap/>
            <w:vAlign w:val="center"/>
          </w:tcPr>
          <w:p w14:paraId="065C80A7">
            <w:pPr>
              <w:widowControl/>
              <w:jc w:val="center"/>
              <w:rPr>
                <w:kern w:val="0"/>
                <w:sz w:val="22"/>
                <w:szCs w:val="22"/>
              </w:rPr>
            </w:pPr>
            <w:r>
              <w:rPr>
                <w:kern w:val="0"/>
                <w:sz w:val="22"/>
                <w:szCs w:val="22"/>
              </w:rPr>
              <w:t xml:space="preserve">0.02 </w:t>
            </w:r>
          </w:p>
        </w:tc>
        <w:tc>
          <w:tcPr>
            <w:tcW w:w="943" w:type="pct"/>
            <w:noWrap/>
            <w:vAlign w:val="center"/>
          </w:tcPr>
          <w:p w14:paraId="2C84726C">
            <w:pPr>
              <w:widowControl/>
              <w:jc w:val="center"/>
              <w:rPr>
                <w:kern w:val="0"/>
                <w:sz w:val="22"/>
                <w:szCs w:val="22"/>
              </w:rPr>
            </w:pPr>
            <w:r>
              <w:rPr>
                <w:kern w:val="0"/>
                <w:sz w:val="22"/>
                <w:szCs w:val="22"/>
              </w:rPr>
              <w:t>-0.05%</w:t>
            </w:r>
          </w:p>
        </w:tc>
      </w:tr>
      <w:tr w14:paraId="5B13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90" w:type="pct"/>
            <w:vMerge w:val="continue"/>
            <w:noWrap/>
            <w:vAlign w:val="center"/>
          </w:tcPr>
          <w:p w14:paraId="6C21C7B3">
            <w:pPr>
              <w:widowControl/>
              <w:jc w:val="center"/>
              <w:rPr>
                <w:kern w:val="0"/>
                <w:sz w:val="22"/>
                <w:szCs w:val="22"/>
              </w:rPr>
            </w:pPr>
          </w:p>
        </w:tc>
        <w:tc>
          <w:tcPr>
            <w:tcW w:w="640" w:type="pct"/>
            <w:noWrap/>
            <w:vAlign w:val="center"/>
          </w:tcPr>
          <w:p w14:paraId="1AE8921C">
            <w:pPr>
              <w:widowControl/>
              <w:jc w:val="center"/>
              <w:rPr>
                <w:kern w:val="0"/>
                <w:sz w:val="22"/>
                <w:szCs w:val="22"/>
              </w:rPr>
            </w:pPr>
            <w:r>
              <w:rPr>
                <w:kern w:val="0"/>
                <w:sz w:val="22"/>
                <w:szCs w:val="22"/>
              </w:rPr>
              <w:t>6#</w:t>
            </w:r>
          </w:p>
        </w:tc>
        <w:tc>
          <w:tcPr>
            <w:tcW w:w="942" w:type="pct"/>
            <w:noWrap/>
            <w:vAlign w:val="center"/>
          </w:tcPr>
          <w:p w14:paraId="3FF4D0DF">
            <w:pPr>
              <w:widowControl/>
              <w:jc w:val="center"/>
              <w:rPr>
                <w:kern w:val="0"/>
                <w:sz w:val="22"/>
                <w:szCs w:val="22"/>
              </w:rPr>
            </w:pPr>
            <w:r>
              <w:rPr>
                <w:kern w:val="0"/>
                <w:sz w:val="22"/>
                <w:szCs w:val="22"/>
              </w:rPr>
              <w:t xml:space="preserve">-0.08 </w:t>
            </w:r>
          </w:p>
        </w:tc>
        <w:tc>
          <w:tcPr>
            <w:tcW w:w="942" w:type="pct"/>
            <w:noWrap/>
            <w:vAlign w:val="center"/>
          </w:tcPr>
          <w:p w14:paraId="71EB6EF3">
            <w:pPr>
              <w:widowControl/>
              <w:jc w:val="center"/>
              <w:rPr>
                <w:kern w:val="0"/>
                <w:sz w:val="22"/>
                <w:szCs w:val="22"/>
              </w:rPr>
            </w:pPr>
            <w:r>
              <w:rPr>
                <w:kern w:val="0"/>
                <w:sz w:val="22"/>
                <w:szCs w:val="22"/>
              </w:rPr>
              <w:t xml:space="preserve">88.43 </w:t>
            </w:r>
          </w:p>
        </w:tc>
        <w:tc>
          <w:tcPr>
            <w:tcW w:w="942" w:type="pct"/>
            <w:noWrap/>
            <w:vAlign w:val="center"/>
          </w:tcPr>
          <w:p w14:paraId="0F7EB4D6">
            <w:pPr>
              <w:widowControl/>
              <w:jc w:val="center"/>
              <w:rPr>
                <w:kern w:val="0"/>
                <w:sz w:val="22"/>
                <w:szCs w:val="22"/>
              </w:rPr>
            </w:pPr>
            <w:r>
              <w:rPr>
                <w:kern w:val="0"/>
                <w:sz w:val="22"/>
                <w:szCs w:val="22"/>
              </w:rPr>
              <w:t xml:space="preserve">-0.01 </w:t>
            </w:r>
          </w:p>
        </w:tc>
        <w:tc>
          <w:tcPr>
            <w:tcW w:w="943" w:type="pct"/>
            <w:noWrap/>
            <w:vAlign w:val="center"/>
          </w:tcPr>
          <w:p w14:paraId="2A867399">
            <w:pPr>
              <w:widowControl/>
              <w:jc w:val="center"/>
              <w:rPr>
                <w:kern w:val="0"/>
                <w:sz w:val="22"/>
                <w:szCs w:val="22"/>
              </w:rPr>
            </w:pPr>
            <w:r>
              <w:rPr>
                <w:kern w:val="0"/>
                <w:sz w:val="22"/>
                <w:szCs w:val="22"/>
              </w:rPr>
              <w:t>-0.01%</w:t>
            </w:r>
          </w:p>
        </w:tc>
      </w:tr>
    </w:tbl>
    <w:p w14:paraId="2BE124DE">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仪器漂移包括零点漂移和量程漂移(稳定性)。</w:t>
      </w:r>
    </w:p>
    <w:p w14:paraId="290C64BD">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系统校准零点和量程点后，通入零点气体至仪器示值稳定后，记录示值。然后通入约为满量程90%的标准气体，待读数稳定后，记录示值，排出测试仪中标准气体至测试仪回复零位。非连续性仪器运行1h，每间隔10min，重复上述步骤，连续性仪器运行6h，每间隔1h，重复上述步骤，同时记录示值。按公式(9)、(10)计算零点漂移，取绝对值最大的值作为仪器零点漂移。按公式(11)(12)计算量程漂移，取绝对值最大的值作为量程漂移。</w:t>
      </w:r>
    </w:p>
    <w:p w14:paraId="6502C35D">
      <w:pPr>
        <w:snapToGrid w:val="0"/>
        <w:ind w:left="420" w:leftChars="200" w:firstLine="0"/>
        <w:jc w:val="right"/>
        <w:rPr>
          <w:rFonts w:hint="eastAsia" w:ascii="SimSun" w:hAnsi="SimSun"/>
        </w:rPr>
      </w:pPr>
      <w:r>
        <w:rPr>
          <w:rFonts w:hint="eastAsia" w:ascii="SimSun" w:hAnsi="SimSun"/>
          <w:position w:val="-12"/>
        </w:rPr>
        <w:object>
          <v:shape id="_x0000_i1046" o:spt="75" type="#_x0000_t75" style="height:17.75pt;width:74.65pt;" o:ole="t" filled="f" o:preferrelative="t" stroked="f" coordsize="21600,21600">
            <v:path/>
            <v:fill on="f" focussize="0,0"/>
            <v:stroke on="f"/>
            <v:imagedata r:id="rId51" o:title=""/>
            <o:lock v:ext="edit" aspectratio="t"/>
            <w10:wrap type="none"/>
            <w10:anchorlock/>
          </v:shape>
          <o:OLEObject Type="Embed" ProgID="Equation.DSMT4" ShapeID="_x0000_i1046" DrawAspect="Content" ObjectID="_1468075746" r:id="rId50">
            <o:LockedField>false</o:LockedField>
          </o:OLEObject>
        </w:object>
      </w:r>
      <w:r>
        <w:rPr>
          <w:rFonts w:hint="eastAsia" w:ascii="SimSun" w:hAnsi="SimSun"/>
        </w:rPr>
        <w:t xml:space="preserve">      </w:t>
      </w:r>
      <w:r>
        <w:rPr>
          <w:rFonts w:hint="eastAsia" w:ascii="SimSun" w:hAnsi="SimSun"/>
          <w:lang w:val="en-US" w:eastAsia="zh-CN"/>
        </w:rPr>
        <w:t xml:space="preserve">     </w:t>
      </w:r>
      <w:r>
        <w:rPr>
          <w:rFonts w:hint="eastAsia" w:ascii="SimSun" w:hAnsi="SimSun"/>
        </w:rPr>
        <w:t xml:space="preserve">             （</w:t>
      </w:r>
      <w:r>
        <w:rPr>
          <w:rFonts w:hint="eastAsia" w:ascii="SimSun" w:hAnsi="SimSun"/>
          <w:lang w:val="en-US" w:eastAsia="zh-CN"/>
        </w:rPr>
        <w:t>9</w:t>
      </w:r>
      <w:r>
        <w:rPr>
          <w:rFonts w:hint="eastAsia" w:ascii="SimSun" w:hAnsi="SimSun"/>
        </w:rPr>
        <w:t>）</w:t>
      </w:r>
    </w:p>
    <w:p w14:paraId="2A3F9CFB">
      <w:pPr>
        <w:snapToGrid w:val="0"/>
        <w:ind w:left="420" w:leftChars="200" w:firstLine="0"/>
        <w:jc w:val="right"/>
        <w:rPr>
          <w:rFonts w:ascii="SimSun" w:hAnsi="SimSun"/>
        </w:rPr>
      </w:pPr>
      <w:r>
        <w:rPr>
          <w:rFonts w:hint="eastAsia" w:ascii="SimSun" w:hAnsi="SimSun"/>
        </w:rPr>
        <w:object>
          <v:shape id="_x0000_i1047" o:spt="75" type="#_x0000_t75" style="height:30.55pt;width:112.4pt;" o:ole="t" filled="f" o:preferrelative="t" stroked="f" coordsize="21600,21600">
            <v:path/>
            <v:fill on="f" focussize="0,0"/>
            <v:stroke on="f"/>
            <v:imagedata r:id="rId53" o:title=""/>
            <o:lock v:ext="edit" aspectratio="t"/>
            <w10:wrap type="none"/>
            <w10:anchorlock/>
          </v:shape>
          <o:OLEObject Type="Embed" ProgID="Equation.DSMT4" ShapeID="_x0000_i1047" DrawAspect="Content" ObjectID="_1468075747" r:id="rId52">
            <o:LockedField>false</o:LockedField>
          </o:OLEObject>
        </w:object>
      </w:r>
      <w:r>
        <w:rPr>
          <w:rFonts w:hint="eastAsia" w:ascii="SimSun" w:hAnsi="SimSun"/>
        </w:rPr>
        <w:t xml:space="preserve">                   （</w:t>
      </w:r>
      <w:r>
        <w:rPr>
          <w:rFonts w:hint="eastAsia" w:ascii="SimSun" w:hAnsi="SimSun"/>
          <w:lang w:val="en-US" w:eastAsia="zh-CN"/>
        </w:rPr>
        <w:t>10</w:t>
      </w:r>
      <w:r>
        <w:rPr>
          <w:rFonts w:hint="eastAsia" w:ascii="SimSun" w:hAnsi="SimSun"/>
        </w:rPr>
        <w:t>）</w:t>
      </w:r>
    </w:p>
    <w:p w14:paraId="643B0525">
      <w:pPr>
        <w:snapToGrid w:val="0"/>
        <w:ind w:left="420" w:leftChars="200" w:firstLine="0"/>
        <w:jc w:val="right"/>
        <w:rPr>
          <w:rFonts w:hint="eastAsia" w:ascii="SimSun" w:hAnsi="SimSun"/>
        </w:rPr>
      </w:pPr>
    </w:p>
    <w:p w14:paraId="59E02936">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t>式中：</w:t>
      </w:r>
    </w:p>
    <w:p w14:paraId="3DC9C108">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object>
          <v:shape id="_x0000_i1048" o:spt="75" type="#_x0000_t75" style="height:18pt;width:21pt;" o:ole="t" filled="f" o:preferrelative="t" stroked="f" coordsize="21600,21600">
            <v:path/>
            <v:fill on="f" focussize="0,0"/>
            <v:stroke on="f" joinstyle="miter"/>
            <v:imagedata r:id="rId55" o:title=""/>
            <o:lock v:ext="edit" aspectratio="f"/>
            <w10:wrap type="none"/>
            <w10:anchorlock/>
          </v:shape>
          <o:OLEObject Type="Embed" ProgID="Equation.DSMT4" ShapeID="_x0000_i1048" DrawAspect="Content" ObjectID="_1468075748" r:id="rId54">
            <o:LockedField>false</o:LockedField>
          </o:OLEObject>
        </w:object>
      </w:r>
      <w:r>
        <w:rPr>
          <w:rFonts w:hint="eastAsia" w:ascii="Times New Roman" w:hAnsi="Times New Roman" w:eastAsia="SimSun" w:cs="Times New Roman"/>
          <w:color w:val="auto"/>
          <w:spacing w:val="2"/>
          <w:kern w:val="0"/>
          <w:sz w:val="24"/>
          <w:szCs w:val="21"/>
          <w:highlight w:val="none"/>
          <w:lang w:val="en-US" w:eastAsia="zh-CN" w:bidi="ar-SA"/>
        </w:rPr>
        <w:t xml:space="preserve">  —— 第i次测量时零点漂移的绝对误差，μmol/mol；</w:t>
      </w:r>
    </w:p>
    <w:p w14:paraId="0FF5EF0E">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object>
          <v:shape id="_x0000_i1049" o:spt="75" type="#_x0000_t75" style="height:18pt;width:20pt;" o:ole="t" filled="f" o:preferrelative="t" stroked="f" coordsize="21600,21600">
            <v:path/>
            <v:fill on="f" focussize="0,0"/>
            <v:stroke on="f"/>
            <v:imagedata r:id="rId57" o:title=""/>
            <o:lock v:ext="edit" aspectratio="f"/>
            <w10:wrap type="none"/>
            <w10:anchorlock/>
          </v:shape>
          <o:OLEObject Type="Embed" ProgID="Equation.DSMT4" ShapeID="_x0000_i1049" DrawAspect="Content" ObjectID="_1468075749" r:id="rId56">
            <o:LockedField>false</o:LockedField>
          </o:OLEObject>
        </w:object>
      </w:r>
      <w:r>
        <w:rPr>
          <w:rFonts w:hint="eastAsia" w:ascii="Times New Roman" w:hAnsi="Times New Roman" w:eastAsia="SimSun" w:cs="Times New Roman"/>
          <w:color w:val="auto"/>
          <w:spacing w:val="2"/>
          <w:kern w:val="0"/>
          <w:sz w:val="24"/>
          <w:szCs w:val="21"/>
          <w:highlight w:val="none"/>
          <w:lang w:val="en-US" w:eastAsia="zh-CN" w:bidi="ar-SA"/>
        </w:rPr>
        <w:t xml:space="preserve">  —— 第i次测量时零点漂移的引用误差，%FS；</w:t>
      </w:r>
    </w:p>
    <w:p w14:paraId="719D3304">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object>
          <v:shape id="_x0000_i1050" o:spt="75" type="#_x0000_t75" style="height:18pt;width:8.45pt;" o:ole="t" filled="f" o:preferrelative="t" stroked="f" coordsize="21600,21600">
            <v:path/>
            <v:fill on="f" focussize="0,0"/>
            <v:stroke on="f"/>
            <v:imagedata r:id="rId59" o:title=""/>
            <o:lock v:ext="edit" aspectratio="f"/>
            <w10:wrap type="none"/>
            <w10:anchorlock/>
          </v:shape>
          <o:OLEObject Type="Embed" ProgID="Equation.DSMT4" ShapeID="_x0000_i1050" DrawAspect="Content" ObjectID="_1468075750" r:id="rId58">
            <o:LockedField>false</o:LockedField>
          </o:OLEObject>
        </w:object>
      </w:r>
      <w:r>
        <w:rPr>
          <w:rFonts w:hint="eastAsia" w:ascii="Times New Roman" w:hAnsi="Times New Roman" w:eastAsia="SimSun" w:cs="Times New Roman"/>
          <w:color w:val="auto"/>
          <w:spacing w:val="2"/>
          <w:kern w:val="0"/>
          <w:sz w:val="24"/>
          <w:szCs w:val="21"/>
          <w:highlight w:val="none"/>
          <w:lang w:val="en-US" w:eastAsia="zh-CN" w:bidi="ar-SA"/>
        </w:rPr>
        <w:t xml:space="preserve">   —— 第i次通入零点气体的仪器示值，μmol/mol；</w:t>
      </w:r>
    </w:p>
    <w:p w14:paraId="79A93D9D">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object>
          <v:shape id="_x0000_i1051" o:spt="75" type="#_x0000_t75" style="height:18pt;width:15pt;" o:ole="t" filled="f" o:preferrelative="t" stroked="f" coordsize="21600,21600">
            <v:path/>
            <v:fill on="f" focussize="0,0"/>
            <v:stroke on="f" joinstyle="miter"/>
            <v:imagedata r:id="rId61" o:title=""/>
            <o:lock v:ext="edit" aspectratio="f"/>
            <w10:wrap type="none"/>
            <w10:anchorlock/>
          </v:shape>
          <o:OLEObject Type="Embed" ProgID="Equation.DSMT4" ShapeID="_x0000_i1051" DrawAspect="Content" ObjectID="_1468075751" r:id="rId60">
            <o:LockedField>false</o:LockedField>
          </o:OLEObject>
        </w:object>
      </w:r>
      <w:r>
        <w:rPr>
          <w:rFonts w:hint="eastAsia" w:ascii="Times New Roman" w:hAnsi="Times New Roman" w:eastAsia="SimSun" w:cs="Times New Roman"/>
          <w:color w:val="auto"/>
          <w:spacing w:val="2"/>
          <w:kern w:val="0"/>
          <w:sz w:val="24"/>
          <w:szCs w:val="21"/>
          <w:highlight w:val="none"/>
          <w:lang w:val="en-US" w:eastAsia="zh-CN" w:bidi="ar-SA"/>
        </w:rPr>
        <w:t xml:space="preserve">   —— 校准开始时的零位示值，μmol/mol。</w:t>
      </w:r>
    </w:p>
    <w:p w14:paraId="3FCFE8A1">
      <w:pPr>
        <w:snapToGrid w:val="0"/>
        <w:ind w:left="420" w:leftChars="200" w:firstLine="0"/>
        <w:jc w:val="left"/>
        <w:rPr>
          <w:rFonts w:ascii="SimSun" w:hAnsi="SimSun"/>
        </w:rPr>
      </w:pPr>
    </w:p>
    <w:p w14:paraId="2455A41E">
      <w:pPr>
        <w:snapToGrid w:val="0"/>
        <w:ind w:left="420" w:leftChars="200" w:firstLine="0"/>
        <w:jc w:val="right"/>
        <w:rPr>
          <w:rFonts w:hint="eastAsia" w:ascii="SimSun" w:hAnsi="SimSun"/>
        </w:rPr>
      </w:pPr>
      <w:r>
        <w:rPr>
          <w:rFonts w:hint="eastAsia" w:ascii="SimSun" w:hAnsi="SimSun"/>
          <w:position w:val="-12"/>
        </w:rPr>
        <w:object>
          <v:shape id="_x0000_i1052" o:spt="75" type="#_x0000_t75" style="height:17.75pt;width:124.35pt;" o:ole="t" filled="f" o:preferrelative="t" stroked="f" coordsize="21600,21600">
            <v:path/>
            <v:fill on="f" focussize="0,0"/>
            <v:stroke on="f"/>
            <v:imagedata r:id="rId63" o:title=""/>
            <o:lock v:ext="edit" aspectratio="t"/>
            <w10:wrap type="none"/>
            <w10:anchorlock/>
          </v:shape>
          <o:OLEObject Type="Embed" ProgID="Equation.DSMT4" ShapeID="_x0000_i1052" DrawAspect="Content" ObjectID="_1468075752" r:id="rId62">
            <o:LockedField>false</o:LockedField>
          </o:OLEObject>
        </w:object>
      </w:r>
      <w:r>
        <w:rPr>
          <w:rFonts w:hint="eastAsia" w:ascii="SimSun" w:hAnsi="SimSun"/>
        </w:rPr>
        <w:t xml:space="preserve">       </w:t>
      </w:r>
      <w:r>
        <w:rPr>
          <w:rFonts w:hint="eastAsia" w:ascii="SimSun" w:hAnsi="SimSun"/>
          <w:lang w:val="en-US" w:eastAsia="zh-CN"/>
        </w:rPr>
        <w:t xml:space="preserve">   </w:t>
      </w:r>
      <w:r>
        <w:rPr>
          <w:rFonts w:hint="eastAsia" w:ascii="SimSun" w:hAnsi="SimSun"/>
        </w:rPr>
        <w:t xml:space="preserve">        （</w:t>
      </w:r>
      <w:r>
        <w:rPr>
          <w:rFonts w:hint="eastAsia" w:ascii="SimSun" w:hAnsi="SimSun"/>
          <w:lang w:val="en-US" w:eastAsia="zh-CN"/>
        </w:rPr>
        <w:t>11</w:t>
      </w:r>
      <w:r>
        <w:rPr>
          <w:rFonts w:hint="eastAsia" w:ascii="SimSun" w:hAnsi="SimSun"/>
        </w:rPr>
        <w:t>）</w:t>
      </w:r>
    </w:p>
    <w:p w14:paraId="0BEEA009">
      <w:pPr>
        <w:snapToGrid w:val="0"/>
        <w:ind w:left="420" w:leftChars="200" w:firstLine="0"/>
        <w:jc w:val="right"/>
        <w:rPr>
          <w:rFonts w:hint="eastAsia" w:ascii="SimSun" w:hAnsi="SimSun"/>
        </w:rPr>
      </w:pPr>
      <w:r>
        <w:rPr>
          <w:rFonts w:hint="eastAsia" w:ascii="SimSun" w:hAnsi="SimSun"/>
          <w:position w:val="-24"/>
        </w:rPr>
        <w:object>
          <v:shape id="_x0000_i1053" o:spt="75" type="#_x0000_t75" style="height:30.55pt;width:161.2pt;" o:ole="t" filled="f" o:preferrelative="t" stroked="f" coordsize="21600,21600">
            <v:path/>
            <v:fill on="f" focussize="0,0"/>
            <v:stroke on="f"/>
            <v:imagedata r:id="rId65" o:title=""/>
            <o:lock v:ext="edit" aspectratio="t"/>
            <w10:wrap type="none"/>
            <w10:anchorlock/>
          </v:shape>
          <o:OLEObject Type="Embed" ProgID="Equation.DSMT4" ShapeID="_x0000_i1053" DrawAspect="Content" ObjectID="_1468075753" r:id="rId64">
            <o:LockedField>false</o:LockedField>
          </o:OLEObject>
        </w:object>
      </w:r>
      <w:r>
        <w:rPr>
          <w:rFonts w:hint="eastAsia" w:ascii="SimSun" w:hAnsi="SimSun"/>
        </w:rPr>
        <w:t xml:space="preserve">               （</w:t>
      </w:r>
      <w:r>
        <w:rPr>
          <w:rFonts w:hint="eastAsia" w:ascii="SimSun" w:hAnsi="SimSun"/>
          <w:lang w:val="en-US" w:eastAsia="zh-CN"/>
        </w:rPr>
        <w:t>12</w:t>
      </w:r>
      <w:r>
        <w:rPr>
          <w:rFonts w:hint="eastAsia" w:ascii="SimSun" w:hAnsi="SimSun"/>
        </w:rPr>
        <w:t>）</w:t>
      </w:r>
    </w:p>
    <w:p w14:paraId="1CF8A84D">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t>式中：</w:t>
      </w:r>
    </w:p>
    <w:p w14:paraId="4079DD34">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object>
          <v:shape id="_x0000_i1054" o:spt="75" type="#_x0000_t75" style="height:18pt;width:20pt;" o:ole="t" filled="f" o:preferrelative="t" stroked="f" coordsize="21600,21600">
            <v:path/>
            <v:fill on="f" focussize="0,0"/>
            <v:stroke on="f" joinstyle="miter"/>
            <v:imagedata r:id="rId67" o:title=""/>
            <o:lock v:ext="edit" aspectratio="f"/>
            <w10:wrap type="none"/>
            <w10:anchorlock/>
          </v:shape>
          <o:OLEObject Type="Embed" ProgID="Equation.DSMT4" ShapeID="_x0000_i1054" DrawAspect="Content" ObjectID="_1468075754" r:id="rId66">
            <o:LockedField>false</o:LockedField>
          </o:OLEObject>
        </w:object>
      </w:r>
      <w:r>
        <w:rPr>
          <w:rFonts w:hint="eastAsia" w:ascii="Times New Roman" w:hAnsi="Times New Roman" w:eastAsia="SimSun" w:cs="Times New Roman"/>
          <w:color w:val="auto"/>
          <w:spacing w:val="2"/>
          <w:kern w:val="0"/>
          <w:sz w:val="24"/>
          <w:szCs w:val="21"/>
          <w:highlight w:val="none"/>
          <w:lang w:val="en-US" w:eastAsia="zh-CN" w:bidi="ar-SA"/>
        </w:rPr>
        <w:t xml:space="preserve">  —— 第i次测量时量程漂移的绝对误差，μmol/mol；</w:t>
      </w:r>
    </w:p>
    <w:p w14:paraId="783387EA">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object>
          <v:shape id="_x0000_i1055" o:spt="75" type="#_x0000_t75" style="height:18pt;width:19pt;" o:ole="t" filled="f" o:preferrelative="t" stroked="f" coordsize="21600,21600">
            <v:path/>
            <v:fill on="f" focussize="0,0"/>
            <v:stroke on="f"/>
            <v:imagedata r:id="rId69" o:title=""/>
            <o:lock v:ext="edit" aspectratio="f"/>
            <w10:wrap type="none"/>
            <w10:anchorlock/>
          </v:shape>
          <o:OLEObject Type="Embed" ProgID="Equation.DSMT4" ShapeID="_x0000_i1055" DrawAspect="Content" ObjectID="_1468075755" r:id="rId68">
            <o:LockedField>false</o:LockedField>
          </o:OLEObject>
        </w:object>
      </w:r>
      <w:r>
        <w:rPr>
          <w:rFonts w:hint="eastAsia" w:ascii="Times New Roman" w:hAnsi="Times New Roman" w:eastAsia="SimSun" w:cs="Times New Roman"/>
          <w:color w:val="auto"/>
          <w:spacing w:val="2"/>
          <w:kern w:val="0"/>
          <w:sz w:val="24"/>
          <w:szCs w:val="21"/>
          <w:highlight w:val="none"/>
          <w:lang w:val="en-US" w:eastAsia="zh-CN" w:bidi="ar-SA"/>
        </w:rPr>
        <w:t xml:space="preserve">  —— 第i次测量时量程漂移的引用误差，%FS；</w:t>
      </w:r>
    </w:p>
    <w:p w14:paraId="570D8742">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object>
          <v:shape id="_x0000_i1056" o:spt="75" type="#_x0000_t75" style="height:18pt;width:12pt;" o:ole="t" filled="f" o:preferrelative="t" stroked="f" coordsize="21600,21600">
            <v:path/>
            <v:fill on="f" focussize="0,0"/>
            <v:stroke on="f" joinstyle="miter"/>
            <v:imagedata r:id="rId71" o:title=""/>
            <o:lock v:ext="edit" aspectratio="f"/>
            <w10:wrap type="none"/>
            <w10:anchorlock/>
          </v:shape>
          <o:OLEObject Type="Embed" ProgID="Equation.DSMT4" ShapeID="_x0000_i1056" DrawAspect="Content" ObjectID="_1468075756" r:id="rId70">
            <o:LockedField>false</o:LockedField>
          </o:OLEObject>
        </w:object>
      </w:r>
      <w:r>
        <w:rPr>
          <w:rFonts w:hint="eastAsia" w:ascii="Times New Roman" w:hAnsi="Times New Roman" w:eastAsia="SimSun" w:cs="Times New Roman"/>
          <w:color w:val="auto"/>
          <w:spacing w:val="2"/>
          <w:kern w:val="0"/>
          <w:sz w:val="24"/>
          <w:szCs w:val="21"/>
          <w:highlight w:val="none"/>
          <w:lang w:val="en-US" w:eastAsia="zh-CN" w:bidi="ar-SA"/>
        </w:rPr>
        <w:t xml:space="preserve">   —— 第i次通入测量点气体标准物质的仪器示值，μmol/mol；</w:t>
      </w:r>
    </w:p>
    <w:p w14:paraId="2073B757">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default" w:ascii="Times New Roman" w:hAnsi="Times New Roman" w:eastAsia="SimSun" w:cs="Times New Roman"/>
          <w:color w:val="auto"/>
          <w:spacing w:val="2"/>
          <w:kern w:val="0"/>
          <w:sz w:val="24"/>
          <w:szCs w:val="21"/>
          <w:highlight w:val="none"/>
          <w:lang w:val="en-US" w:eastAsia="zh-CN" w:bidi="ar-SA"/>
        </w:rPr>
      </w:pPr>
      <w:r>
        <w:rPr>
          <w:rFonts w:hint="eastAsia" w:ascii="Times New Roman" w:hAnsi="Times New Roman" w:eastAsia="SimSun" w:cs="Times New Roman"/>
          <w:color w:val="auto"/>
          <w:spacing w:val="2"/>
          <w:kern w:val="0"/>
          <w:sz w:val="24"/>
          <w:szCs w:val="21"/>
          <w:highlight w:val="none"/>
          <w:lang w:val="en-US" w:eastAsia="zh-CN" w:bidi="ar-SA"/>
        </w:rPr>
        <w:object>
          <v:shape id="_x0000_i1057" o:spt="75" type="#_x0000_t75" style="height:18pt;width:13.95pt;" o:ole="t" filled="f" o:preferrelative="t" stroked="f" coordsize="21600,21600">
            <v:path/>
            <v:fill on="f" focussize="0,0"/>
            <v:stroke on="f" joinstyle="miter"/>
            <v:imagedata r:id="rId73" o:title=""/>
            <o:lock v:ext="edit" aspectratio="f"/>
            <w10:wrap type="none"/>
            <w10:anchorlock/>
          </v:shape>
          <o:OLEObject Type="Embed" ProgID="Equation.DSMT4" ShapeID="_x0000_i1057" DrawAspect="Content" ObjectID="_1468075757" r:id="rId72">
            <o:LockedField>false</o:LockedField>
          </o:OLEObject>
        </w:object>
      </w:r>
      <w:r>
        <w:rPr>
          <w:rFonts w:hint="eastAsia" w:ascii="Times New Roman" w:hAnsi="Times New Roman" w:eastAsia="SimSun" w:cs="Times New Roman"/>
          <w:color w:val="auto"/>
          <w:spacing w:val="2"/>
          <w:kern w:val="0"/>
          <w:sz w:val="24"/>
          <w:szCs w:val="21"/>
          <w:highlight w:val="none"/>
          <w:lang w:val="en-US" w:eastAsia="zh-CN" w:bidi="ar-SA"/>
        </w:rPr>
        <w:t xml:space="preserve">   —— 校准开始时，测量点通入量程上限90%浓度气体标准物质的仪器示值，μmol/mol。</w:t>
      </w:r>
    </w:p>
    <w:p w14:paraId="3B7E19C8">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7.8噪声</w:t>
      </w:r>
    </w:p>
    <w:p w14:paraId="71472531">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噪声主要校准零点噪声和量程噪声，参考附件16《环境保护》第II卷 — 《航空器发动机的排放物》，要求0.5Hz及其以上，小于所取量程满刻度的±1%或±0.5ppmC，参考HJ 1012环境空气和废气总烃甲烷和非甲烷总烃便携式监测仪技术要求及检测方法和HJ 654环境空气气态污染物(SO</w:t>
      </w:r>
      <w:r>
        <w:rPr>
          <w:rFonts w:hint="eastAsia" w:ascii="Times New Roman" w:hAnsi="Times New Roman" w:eastAsia="SimSun" w:cs="Times New Roman"/>
          <w:color w:val="auto"/>
          <w:spacing w:val="2"/>
          <w:kern w:val="0"/>
          <w:sz w:val="24"/>
          <w:szCs w:val="21"/>
          <w:vertAlign w:val="subscript"/>
          <w:lang w:val="en-US" w:eastAsia="zh-CN" w:bidi="ar-SA"/>
        </w:rPr>
        <w:t>2</w:t>
      </w:r>
      <w:r>
        <w:rPr>
          <w:rFonts w:hint="eastAsia" w:ascii="Times New Roman" w:hAnsi="Times New Roman" w:eastAsia="SimSun" w:cs="Times New Roman"/>
          <w:color w:val="auto"/>
          <w:spacing w:val="2"/>
          <w:kern w:val="0"/>
          <w:sz w:val="24"/>
          <w:szCs w:val="21"/>
          <w:lang w:val="en-US" w:eastAsia="zh-CN" w:bidi="ar-SA"/>
        </w:rPr>
        <w:t>、NO</w:t>
      </w:r>
      <w:r>
        <w:rPr>
          <w:rFonts w:hint="eastAsia" w:ascii="Times New Roman" w:hAnsi="Times New Roman" w:eastAsia="SimSun" w:cs="Times New Roman"/>
          <w:color w:val="auto"/>
          <w:spacing w:val="2"/>
          <w:kern w:val="0"/>
          <w:sz w:val="24"/>
          <w:szCs w:val="21"/>
          <w:vertAlign w:val="subscript"/>
          <w:lang w:val="en-US" w:eastAsia="zh-CN" w:bidi="ar-SA"/>
        </w:rPr>
        <w:t>2</w:t>
      </w:r>
      <w:r>
        <w:rPr>
          <w:rFonts w:hint="eastAsia" w:ascii="Times New Roman" w:hAnsi="Times New Roman" w:eastAsia="SimSun" w:cs="Times New Roman"/>
          <w:color w:val="auto"/>
          <w:spacing w:val="2"/>
          <w:kern w:val="0"/>
          <w:sz w:val="24"/>
          <w:szCs w:val="21"/>
          <w:lang w:val="en-US" w:eastAsia="zh-CN" w:bidi="ar-SA"/>
        </w:rPr>
        <w:t>、O</w:t>
      </w:r>
      <w:r>
        <w:rPr>
          <w:rFonts w:hint="eastAsia" w:ascii="Times New Roman" w:hAnsi="Times New Roman" w:eastAsia="SimSun" w:cs="Times New Roman"/>
          <w:color w:val="auto"/>
          <w:spacing w:val="2"/>
          <w:kern w:val="0"/>
          <w:sz w:val="24"/>
          <w:szCs w:val="21"/>
          <w:vertAlign w:val="subscript"/>
          <w:lang w:val="en-US" w:eastAsia="zh-CN" w:bidi="ar-SA"/>
        </w:rPr>
        <w:t>3</w:t>
      </w:r>
      <w:r>
        <w:rPr>
          <w:rFonts w:hint="eastAsia" w:ascii="Times New Roman" w:hAnsi="Times New Roman" w:eastAsia="SimSun" w:cs="Times New Roman"/>
          <w:color w:val="auto"/>
          <w:spacing w:val="2"/>
          <w:kern w:val="0"/>
          <w:sz w:val="24"/>
          <w:szCs w:val="21"/>
          <w:lang w:val="en-US" w:eastAsia="zh-CN" w:bidi="ar-SA"/>
        </w:rPr>
        <w:t>、CO)连续自动监测系统技术要求及监测方法等文件，采用均方差进行数据处理。分别对采样频率1s，2s，5s进行试验，采样频率1s噪声值偏大，且满足0.5Hz及其以上要求。</w:t>
      </w:r>
    </w:p>
    <w:p w14:paraId="396C3C5A">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零点噪声校准方法如下:</w:t>
      </w:r>
    </w:p>
    <w:p w14:paraId="58C78EAF">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系统校准零点和量程点后，连续通入零点气体1小时以上，以1秒的采样频率采集数据，每2min记录该时间段数据平均值，记录30次，按公式(13)计算所记录数据的标准偏差，按公式(14)计算仪器的零点噪声。</w:t>
      </w:r>
    </w:p>
    <w:p w14:paraId="3C8812B6">
      <w:pPr>
        <w:snapToGrid w:val="0"/>
        <w:ind w:left="420" w:leftChars="200" w:firstLine="0"/>
        <w:jc w:val="right"/>
        <w:rPr>
          <w:rFonts w:ascii="SimSun" w:hAnsi="SimSun"/>
        </w:rPr>
      </w:pPr>
      <w:r>
        <w:rPr>
          <w:rFonts w:hint="eastAsia" w:ascii="SimSun" w:hAnsi="SimSun"/>
          <w:position w:val="-26"/>
        </w:rPr>
        <w:object>
          <v:shape id="_x0000_i1058" o:spt="75" type="#_x0000_t75" style="height:52pt;width:137pt;" o:ole="t" filled="f" o:preferrelative="t" stroked="f" coordsize="21600,21600">
            <v:path/>
            <v:fill on="f" focussize="0,0"/>
            <v:stroke on="f" joinstyle="miter"/>
            <v:imagedata r:id="rId75" o:title=""/>
            <o:lock v:ext="edit" aspectratio="f"/>
            <w10:wrap type="none"/>
            <w10:anchorlock/>
          </v:shape>
          <o:OLEObject Type="Embed" ProgID="Equation.DSMT4" ShapeID="_x0000_i1058" DrawAspect="Content" ObjectID="_1468075758" r:id="rId74">
            <o:LockedField>false</o:LockedField>
          </o:OLEObject>
        </w:object>
      </w:r>
      <w:r>
        <w:rPr>
          <w:rFonts w:hint="eastAsia" w:ascii="SimSun" w:hAnsi="SimSun"/>
        </w:rPr>
        <w:t xml:space="preserve">               （</w:t>
      </w:r>
      <w:r>
        <w:rPr>
          <w:rFonts w:hint="eastAsia" w:ascii="SimSun" w:hAnsi="SimSun"/>
          <w:lang w:val="en-US" w:eastAsia="zh-CN"/>
        </w:rPr>
        <w:t>13</w:t>
      </w:r>
      <w:r>
        <w:rPr>
          <w:rFonts w:hint="eastAsia" w:ascii="SimSun" w:hAnsi="SimSun"/>
        </w:rPr>
        <w:t>）</w:t>
      </w:r>
    </w:p>
    <w:p w14:paraId="68AB3735">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式中</w:t>
      </w:r>
    </w:p>
    <w:p w14:paraId="02C1C5B0">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59" o:spt="75" type="#_x0000_t75" style="height:18pt;width:16pt;" o:ole="t" filled="f" o:preferrelative="t" stroked="f" coordsize="21600,21600">
            <v:path/>
            <v:fill on="f" focussize="0,0"/>
            <v:stroke on="f" joinstyle="miter"/>
            <v:imagedata r:id="rId77" o:title=""/>
            <o:lock v:ext="edit" aspectratio="f"/>
            <w10:wrap type="none"/>
            <w10:anchorlock/>
          </v:shape>
          <o:OLEObject Type="Embed" ProgID="Equation.DSMT4" ShapeID="_x0000_i1059" DrawAspect="Content" ObjectID="_1468075759" r:id="rId76">
            <o:LockedField>false</o:LockedField>
          </o:OLEObject>
        </w:object>
      </w:r>
      <w:r>
        <w:rPr>
          <w:rFonts w:hint="eastAsia"/>
          <w:bCs/>
          <w:color w:val="000000"/>
          <w:sz w:val="24"/>
          <w:lang w:val="en-US" w:eastAsia="zh-CN"/>
        </w:rPr>
        <w:t xml:space="preserve">  —— 单次测量的实验标准偏差(噪声绝对误差)，μmol/mol；</w:t>
      </w:r>
    </w:p>
    <w:p w14:paraId="5A7BA16D">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60" o:spt="75" type="#_x0000_t75" style="height:17pt;width:13.95pt;" o:ole="t" filled="f" o:preferrelative="t" stroked="f" coordsize="21600,21600">
            <v:path/>
            <v:fill on="f" focussize="0,0"/>
            <v:stroke on="f" joinstyle="miter"/>
            <v:imagedata r:id="rId79" o:title=""/>
            <o:lock v:ext="edit" aspectratio="f"/>
            <w10:wrap type="none"/>
            <w10:anchorlock/>
          </v:shape>
          <o:OLEObject Type="Embed" ProgID="Equation.DSMT4" ShapeID="_x0000_i1060" DrawAspect="Content" ObjectID="_1468075760" r:id="rId78">
            <o:LockedField>false</o:LockedField>
          </o:OLEObject>
        </w:object>
      </w:r>
      <w:r>
        <w:rPr>
          <w:rFonts w:hint="eastAsia"/>
          <w:bCs/>
          <w:color w:val="000000"/>
          <w:sz w:val="24"/>
          <w:lang w:val="en-US" w:eastAsia="zh-CN"/>
        </w:rPr>
        <w:t xml:space="preserve">  —— 测量n次的算术平均值，μmol/mol；</w:t>
      </w:r>
    </w:p>
    <w:p w14:paraId="7D938491">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61" o:spt="75" type="#_x0000_t75" style="height:18pt;width:16.15pt;" o:ole="t" filled="f" o:preferrelative="t" stroked="f" coordsize="21600,21600">
            <v:path/>
            <v:fill on="f" focussize="0,0"/>
            <v:stroke on="f" joinstyle="miter"/>
            <v:imagedata r:id="rId81" o:title=""/>
            <o:lock v:ext="edit" aspectratio="f"/>
            <w10:wrap type="none"/>
            <w10:anchorlock/>
          </v:shape>
          <o:OLEObject Type="Embed" ProgID="Equation.DSMT4" ShapeID="_x0000_i1061" DrawAspect="Content" ObjectID="_1468075761" r:id="rId80">
            <o:LockedField>false</o:LockedField>
          </o:OLEObject>
        </w:object>
      </w:r>
      <w:r>
        <w:rPr>
          <w:rFonts w:hint="eastAsia"/>
          <w:bCs/>
          <w:color w:val="000000"/>
          <w:sz w:val="24"/>
          <w:lang w:val="en-US" w:eastAsia="zh-CN"/>
        </w:rPr>
        <w:t xml:space="preserve">  —— 第i次测量的仪器平均示值，μmol/mol；</w:t>
      </w:r>
    </w:p>
    <w:p w14:paraId="0A019E6C">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62" o:spt="75" type="#_x0000_t75" style="height:11pt;width:10pt;" o:ole="t" filled="f" o:preferrelative="t" stroked="f" coordsize="21600,21600">
            <v:path/>
            <v:fill on="f" focussize="0,0"/>
            <v:stroke on="f" joinstyle="miter"/>
            <v:imagedata r:id="rId83" o:title=""/>
            <o:lock v:ext="edit" aspectratio="f"/>
            <w10:wrap type="none"/>
            <w10:anchorlock/>
          </v:shape>
          <o:OLEObject Type="Embed" ProgID="Equation.DSMT4" ShapeID="_x0000_i1062" DrawAspect="Content" ObjectID="_1468075762" r:id="rId82">
            <o:LockedField>false</o:LockedField>
          </o:OLEObject>
        </w:object>
      </w:r>
      <w:r>
        <w:rPr>
          <w:rFonts w:hint="eastAsia"/>
          <w:bCs/>
          <w:color w:val="000000"/>
          <w:sz w:val="24"/>
          <w:lang w:val="en-US" w:eastAsia="zh-CN"/>
        </w:rPr>
        <w:t xml:space="preserve">   —— 记录次数，不少于30次。</w:t>
      </w:r>
    </w:p>
    <w:p w14:paraId="1DD01AA5">
      <w:pPr>
        <w:snapToGrid w:val="0"/>
        <w:ind w:left="420" w:leftChars="200" w:firstLine="0"/>
        <w:jc w:val="right"/>
        <w:rPr>
          <w:rFonts w:ascii="SimSun" w:hAnsi="SimSun"/>
        </w:rPr>
      </w:pPr>
      <w:r>
        <w:rPr>
          <w:rFonts w:hint="eastAsia" w:ascii="SimSun" w:hAnsi="SimSun"/>
        </w:rPr>
        <w:object>
          <v:shape id="_x0000_i1063" o:spt="75" type="#_x0000_t75" style="height:30.55pt;width:82.6pt;" o:ole="t" filled="f" o:preferrelative="t" stroked="f" coordsize="21600,21600">
            <v:path/>
            <v:fill on="f" focussize="0,0"/>
            <v:stroke on="f" joinstyle="miter"/>
            <v:imagedata r:id="rId85" o:title=""/>
            <o:lock v:ext="edit" aspectratio="t"/>
            <w10:wrap type="none"/>
            <w10:anchorlock/>
          </v:shape>
          <o:OLEObject Type="Embed" ProgID="Equation.DSMT4" ShapeID="_x0000_i1063" DrawAspect="Content" ObjectID="_1468075763" r:id="rId84">
            <o:LockedField>false</o:LockedField>
          </o:OLEObject>
        </w:object>
      </w:r>
      <w:r>
        <w:rPr>
          <w:rFonts w:hint="eastAsia" w:ascii="SimSun" w:hAnsi="SimSun"/>
        </w:rPr>
        <w:t xml:space="preserve">                     （</w:t>
      </w:r>
      <w:r>
        <w:rPr>
          <w:rFonts w:hint="eastAsia" w:ascii="SimSun" w:hAnsi="SimSun"/>
          <w:lang w:val="en-US" w:eastAsia="zh-CN"/>
        </w:rPr>
        <w:t>14</w:t>
      </w:r>
      <w:r>
        <w:rPr>
          <w:rFonts w:hint="eastAsia" w:ascii="SimSun" w:hAnsi="SimSun"/>
        </w:rPr>
        <w:t>）</w:t>
      </w:r>
    </w:p>
    <w:p w14:paraId="3FD771E3">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式中：</w:t>
      </w:r>
    </w:p>
    <w:p w14:paraId="4D4C42C5">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64" o:spt="75" type="#_x0000_t75" style="height:18pt;width:17pt;" o:ole="t" filled="f" o:preferrelative="t" stroked="f" coordsize="21600,21600">
            <v:path/>
            <v:fill on="f" focussize="0,0"/>
            <v:stroke on="f" joinstyle="miter"/>
            <v:imagedata r:id="rId87" o:title=""/>
            <o:lock v:ext="edit" aspectratio="f"/>
            <w10:wrap type="none"/>
            <w10:anchorlock/>
          </v:shape>
          <o:OLEObject Type="Embed" ProgID="Equation.DSMT4" ShapeID="_x0000_i1064" DrawAspect="Content" ObjectID="_1468075764" r:id="rId86">
            <o:LockedField>false</o:LockedField>
          </o:OLEObject>
        </w:object>
      </w:r>
      <w:r>
        <w:rPr>
          <w:rFonts w:hint="eastAsia"/>
          <w:bCs/>
          <w:color w:val="000000"/>
          <w:sz w:val="24"/>
          <w:lang w:val="en-US" w:eastAsia="zh-CN"/>
        </w:rPr>
        <w:t xml:space="preserve">  —— 零点噪声(引用误差)，%FS；</w:t>
      </w:r>
    </w:p>
    <w:p w14:paraId="10E22891">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量程噪声校准方法如下:</w:t>
      </w:r>
    </w:p>
    <w:p w14:paraId="362C6D2D">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系统校准零点和量程点后，连续通入约为满量程90%的标准气体1小时以上，以1秒的采样频率采集数据，每2min记录该时间段数据平均值，记录30次，按公式(13)计算所记录数据的标准偏差，按公式(15)计算仪器的量程噪声。</w:t>
      </w:r>
    </w:p>
    <w:p w14:paraId="4B8D20CB">
      <w:pPr>
        <w:snapToGrid w:val="0"/>
        <w:ind w:left="420" w:leftChars="200" w:firstLine="0"/>
        <w:jc w:val="right"/>
        <w:rPr>
          <w:rFonts w:ascii="SimSun" w:hAnsi="SimSun"/>
        </w:rPr>
      </w:pPr>
      <w:r>
        <w:rPr>
          <w:rFonts w:hint="eastAsia" w:ascii="SimSun" w:hAnsi="SimSun"/>
          <w:position w:val="-24"/>
        </w:rPr>
        <w:object>
          <v:shape id="_x0000_i1065" o:spt="75" type="#_x0000_t75" style="height:30.55pt;width:80.65pt;" o:ole="t" filled="f" o:preferrelative="t" stroked="f" coordsize="21600,21600">
            <v:path/>
            <v:fill on="f" focussize="0,0"/>
            <v:stroke on="f" joinstyle="miter"/>
            <v:imagedata r:id="rId89" o:title=""/>
            <o:lock v:ext="edit" aspectratio="t"/>
            <w10:wrap type="none"/>
            <w10:anchorlock/>
          </v:shape>
          <o:OLEObject Type="Embed" ProgID="Equation.DSMT4" ShapeID="_x0000_i1065" DrawAspect="Content" ObjectID="_1468075765" r:id="rId88">
            <o:LockedField>false</o:LockedField>
          </o:OLEObject>
        </w:object>
      </w:r>
      <w:r>
        <w:rPr>
          <w:rFonts w:hint="eastAsia" w:ascii="SimSun" w:hAnsi="SimSun"/>
        </w:rPr>
        <w:t xml:space="preserve">                    （</w:t>
      </w:r>
      <w:r>
        <w:rPr>
          <w:rFonts w:hint="eastAsia" w:ascii="SimSun" w:hAnsi="SimSun"/>
          <w:lang w:val="en-US" w:eastAsia="zh-CN"/>
        </w:rPr>
        <w:t>15</w:t>
      </w:r>
      <w:r>
        <w:rPr>
          <w:rFonts w:hint="eastAsia" w:ascii="SimSun" w:hAnsi="SimSun"/>
        </w:rPr>
        <w:t>）</w:t>
      </w:r>
    </w:p>
    <w:p w14:paraId="457FECA1">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式中：</w:t>
      </w:r>
    </w:p>
    <w:p w14:paraId="6B1B9191">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66" o:spt="75" type="#_x0000_t75" style="height:18pt;width:15pt;" o:ole="t" filled="f" o:preferrelative="t" stroked="f" coordsize="21600,21600">
            <v:path/>
            <v:fill on="f" focussize="0,0"/>
            <v:stroke on="f" joinstyle="miter"/>
            <v:imagedata r:id="rId91" o:title=""/>
            <o:lock v:ext="edit" aspectratio="f"/>
            <w10:wrap type="none"/>
            <w10:anchorlock/>
          </v:shape>
          <o:OLEObject Type="Embed" ProgID="Equation.DSMT4" ShapeID="_x0000_i1066" DrawAspect="Content" ObjectID="_1468075766" r:id="rId90">
            <o:LockedField>false</o:LockedField>
          </o:OLEObject>
        </w:object>
      </w:r>
      <w:r>
        <w:rPr>
          <w:rFonts w:hint="eastAsia"/>
          <w:bCs/>
          <w:color w:val="000000"/>
          <w:sz w:val="24"/>
          <w:lang w:val="en-US" w:eastAsia="zh-CN"/>
        </w:rPr>
        <w:t xml:space="preserve">  —— 量程噪声(引用误差)，%FS。</w:t>
      </w:r>
    </w:p>
    <w:p w14:paraId="5BD6E805">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8" w:firstLineChars="200"/>
        <w:textAlignment w:val="auto"/>
        <w:outlineLvl w:val="1"/>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7.9 响应时间</w:t>
      </w:r>
    </w:p>
    <w:p w14:paraId="383DA59E">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响应时间校准方法与JJG 693—2011《可燃气体检测报警器检定规程》、JJF 1585—2016《固定污染源烟气排放连续监测系统校准规范》、JJF 1907—2021《环境空气在线监测气体分析仪校准规范》等标准基本一致。引入浓度约为满量程30%，60%和90%标准气体进行校准，数据见表4，响应时间基本一致，现有计量技术规范通常选取中间点开展响应时间校准，所以选取60%浓度点。</w:t>
      </w:r>
    </w:p>
    <w:p w14:paraId="04DBFECB">
      <w:pPr>
        <w:pStyle w:val="6"/>
        <w:jc w:val="center"/>
        <w:rPr>
          <w:rFonts w:hint="eastAsia" w:ascii="Times New Roman" w:hAnsi="Times New Roman" w:eastAsia="SimSun" w:cs="Times New Roman"/>
          <w:color w:val="auto"/>
          <w:spacing w:val="2"/>
          <w:kern w:val="0"/>
          <w:sz w:val="24"/>
          <w:szCs w:val="21"/>
          <w:lang w:val="en-US" w:eastAsia="zh-CN" w:bidi="ar-SA"/>
        </w:rPr>
      </w:pPr>
      <w:r>
        <w:rPr>
          <w:rFonts w:ascii="SimHei" w:hAnsi="SimHei"/>
          <w:sz w:val="21"/>
          <w:szCs w:val="21"/>
        </w:rPr>
        <w:t xml:space="preserve">表 </w:t>
      </w:r>
      <w:r>
        <w:rPr>
          <w:rFonts w:hint="eastAsia" w:ascii="SimHei" w:hAnsi="SimHei"/>
          <w:sz w:val="21"/>
          <w:szCs w:val="21"/>
          <w:lang w:val="en-US" w:eastAsia="zh-CN"/>
        </w:rPr>
        <w:t>4响应时间校准数据</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6"/>
        <w:gridCol w:w="1331"/>
        <w:gridCol w:w="1331"/>
        <w:gridCol w:w="1333"/>
        <w:gridCol w:w="2322"/>
      </w:tblGrid>
      <w:tr w14:paraId="53393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294" w:type="pct"/>
            <w:vMerge w:val="restart"/>
            <w:noWrap w:val="0"/>
            <w:vAlign w:val="center"/>
          </w:tcPr>
          <w:p w14:paraId="02E87B6C">
            <w:pPr>
              <w:spacing w:line="240" w:lineRule="exact"/>
              <w:jc w:val="center"/>
              <w:rPr>
                <w:szCs w:val="21"/>
              </w:rPr>
            </w:pPr>
            <w:r>
              <w:rPr>
                <w:szCs w:val="21"/>
              </w:rPr>
              <w:t>标准气体浓度</w:t>
            </w:r>
          </w:p>
          <w:p w14:paraId="5372E917">
            <w:pPr>
              <w:spacing w:line="240" w:lineRule="exact"/>
              <w:jc w:val="center"/>
              <w:rPr>
                <w:szCs w:val="21"/>
              </w:rPr>
            </w:pPr>
            <w:r>
              <w:rPr>
                <w:szCs w:val="21"/>
              </w:rPr>
              <w:t>(μmol/mol)</w:t>
            </w:r>
          </w:p>
        </w:tc>
        <w:tc>
          <w:tcPr>
            <w:tcW w:w="2344" w:type="pct"/>
            <w:gridSpan w:val="3"/>
            <w:noWrap w:val="0"/>
            <w:vAlign w:val="center"/>
          </w:tcPr>
          <w:p w14:paraId="59AC9FB1">
            <w:pPr>
              <w:spacing w:line="240" w:lineRule="exact"/>
              <w:jc w:val="center"/>
              <w:rPr>
                <w:szCs w:val="21"/>
              </w:rPr>
            </w:pPr>
            <w:r>
              <w:rPr>
                <w:szCs w:val="21"/>
              </w:rPr>
              <w:t>响应时间(s)</w:t>
            </w:r>
          </w:p>
        </w:tc>
        <w:tc>
          <w:tcPr>
            <w:tcW w:w="1362" w:type="pct"/>
            <w:vMerge w:val="restart"/>
            <w:noWrap w:val="0"/>
            <w:vAlign w:val="center"/>
          </w:tcPr>
          <w:p w14:paraId="0DF408A3">
            <w:pPr>
              <w:spacing w:line="240" w:lineRule="exact"/>
              <w:jc w:val="center"/>
              <w:rPr>
                <w:szCs w:val="21"/>
              </w:rPr>
            </w:pPr>
            <w:r>
              <w:rPr>
                <w:szCs w:val="21"/>
              </w:rPr>
              <w:t>平均值(s)</w:t>
            </w:r>
          </w:p>
        </w:tc>
      </w:tr>
      <w:tr w14:paraId="28DC6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294" w:type="pct"/>
            <w:vMerge w:val="continue"/>
            <w:noWrap w:val="0"/>
            <w:vAlign w:val="center"/>
          </w:tcPr>
          <w:p w14:paraId="710EC562">
            <w:pPr>
              <w:spacing w:line="240" w:lineRule="exact"/>
              <w:jc w:val="center"/>
              <w:rPr>
                <w:szCs w:val="21"/>
              </w:rPr>
            </w:pPr>
          </w:p>
        </w:tc>
        <w:tc>
          <w:tcPr>
            <w:tcW w:w="781" w:type="pct"/>
            <w:noWrap w:val="0"/>
            <w:vAlign w:val="center"/>
          </w:tcPr>
          <w:p w14:paraId="5AF43A8C">
            <w:pPr>
              <w:spacing w:line="240" w:lineRule="exact"/>
              <w:jc w:val="center"/>
              <w:rPr>
                <w:szCs w:val="21"/>
              </w:rPr>
            </w:pPr>
            <w:r>
              <w:rPr>
                <w:szCs w:val="21"/>
              </w:rPr>
              <w:t>1#</w:t>
            </w:r>
          </w:p>
        </w:tc>
        <w:tc>
          <w:tcPr>
            <w:tcW w:w="781" w:type="pct"/>
            <w:noWrap w:val="0"/>
            <w:vAlign w:val="center"/>
          </w:tcPr>
          <w:p w14:paraId="1930B31F">
            <w:pPr>
              <w:spacing w:line="240" w:lineRule="exact"/>
              <w:jc w:val="center"/>
              <w:rPr>
                <w:szCs w:val="21"/>
              </w:rPr>
            </w:pPr>
            <w:r>
              <w:rPr>
                <w:szCs w:val="21"/>
              </w:rPr>
              <w:t>2#</w:t>
            </w:r>
          </w:p>
        </w:tc>
        <w:tc>
          <w:tcPr>
            <w:tcW w:w="781" w:type="pct"/>
            <w:noWrap w:val="0"/>
            <w:vAlign w:val="center"/>
          </w:tcPr>
          <w:p w14:paraId="2210F8BE">
            <w:pPr>
              <w:spacing w:line="240" w:lineRule="exact"/>
              <w:jc w:val="center"/>
              <w:rPr>
                <w:szCs w:val="21"/>
              </w:rPr>
            </w:pPr>
            <w:r>
              <w:rPr>
                <w:szCs w:val="21"/>
              </w:rPr>
              <w:t>3#</w:t>
            </w:r>
          </w:p>
        </w:tc>
        <w:tc>
          <w:tcPr>
            <w:tcW w:w="1362" w:type="pct"/>
            <w:vMerge w:val="continue"/>
            <w:noWrap w:val="0"/>
            <w:vAlign w:val="center"/>
          </w:tcPr>
          <w:p w14:paraId="0C4DCC64">
            <w:pPr>
              <w:spacing w:line="240" w:lineRule="exact"/>
              <w:jc w:val="center"/>
              <w:rPr>
                <w:szCs w:val="21"/>
              </w:rPr>
            </w:pPr>
          </w:p>
        </w:tc>
      </w:tr>
      <w:tr w14:paraId="3A07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294" w:type="pct"/>
            <w:noWrap w:val="0"/>
            <w:vAlign w:val="center"/>
          </w:tcPr>
          <w:p w14:paraId="49AB6EC7">
            <w:pPr>
              <w:spacing w:line="240" w:lineRule="exact"/>
              <w:jc w:val="center"/>
              <w:rPr>
                <w:szCs w:val="21"/>
              </w:rPr>
            </w:pPr>
            <w:r>
              <w:rPr>
                <w:szCs w:val="21"/>
              </w:rPr>
              <w:t>9.98</w:t>
            </w:r>
          </w:p>
        </w:tc>
        <w:tc>
          <w:tcPr>
            <w:tcW w:w="781" w:type="pct"/>
            <w:noWrap w:val="0"/>
            <w:vAlign w:val="center"/>
          </w:tcPr>
          <w:p w14:paraId="56E79F4A">
            <w:pPr>
              <w:spacing w:line="240" w:lineRule="exact"/>
              <w:jc w:val="center"/>
              <w:rPr>
                <w:szCs w:val="21"/>
              </w:rPr>
            </w:pPr>
            <w:r>
              <w:rPr>
                <w:szCs w:val="21"/>
              </w:rPr>
              <w:t>5.8</w:t>
            </w:r>
          </w:p>
        </w:tc>
        <w:tc>
          <w:tcPr>
            <w:tcW w:w="781" w:type="pct"/>
            <w:noWrap w:val="0"/>
            <w:vAlign w:val="center"/>
          </w:tcPr>
          <w:p w14:paraId="4D5256CE">
            <w:pPr>
              <w:spacing w:line="240" w:lineRule="exact"/>
              <w:jc w:val="center"/>
              <w:rPr>
                <w:szCs w:val="21"/>
              </w:rPr>
            </w:pPr>
            <w:r>
              <w:rPr>
                <w:szCs w:val="21"/>
              </w:rPr>
              <w:t>5.6</w:t>
            </w:r>
          </w:p>
        </w:tc>
        <w:tc>
          <w:tcPr>
            <w:tcW w:w="781" w:type="pct"/>
            <w:noWrap w:val="0"/>
            <w:vAlign w:val="center"/>
          </w:tcPr>
          <w:p w14:paraId="6A5E2086">
            <w:pPr>
              <w:spacing w:line="240" w:lineRule="exact"/>
              <w:jc w:val="center"/>
              <w:rPr>
                <w:szCs w:val="21"/>
              </w:rPr>
            </w:pPr>
            <w:r>
              <w:rPr>
                <w:szCs w:val="21"/>
              </w:rPr>
              <w:t>5.7</w:t>
            </w:r>
          </w:p>
        </w:tc>
        <w:tc>
          <w:tcPr>
            <w:tcW w:w="1362" w:type="pct"/>
            <w:noWrap w:val="0"/>
            <w:vAlign w:val="center"/>
          </w:tcPr>
          <w:p w14:paraId="4001F01F">
            <w:pPr>
              <w:spacing w:line="240" w:lineRule="exact"/>
              <w:jc w:val="center"/>
              <w:rPr>
                <w:szCs w:val="21"/>
              </w:rPr>
            </w:pPr>
            <w:r>
              <w:rPr>
                <w:szCs w:val="21"/>
              </w:rPr>
              <w:t>5.7</w:t>
            </w:r>
          </w:p>
        </w:tc>
      </w:tr>
      <w:tr w14:paraId="42786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294" w:type="pct"/>
            <w:noWrap w:val="0"/>
            <w:vAlign w:val="center"/>
          </w:tcPr>
          <w:p w14:paraId="38AC91D0">
            <w:pPr>
              <w:spacing w:line="240" w:lineRule="exact"/>
              <w:jc w:val="center"/>
              <w:rPr>
                <w:szCs w:val="21"/>
              </w:rPr>
            </w:pPr>
            <w:r>
              <w:rPr>
                <w:szCs w:val="21"/>
              </w:rPr>
              <w:t>19.94</w:t>
            </w:r>
          </w:p>
        </w:tc>
        <w:tc>
          <w:tcPr>
            <w:tcW w:w="781" w:type="pct"/>
            <w:noWrap w:val="0"/>
            <w:vAlign w:val="center"/>
          </w:tcPr>
          <w:p w14:paraId="4AE4590A">
            <w:pPr>
              <w:spacing w:line="240" w:lineRule="exact"/>
              <w:jc w:val="center"/>
              <w:rPr>
                <w:szCs w:val="21"/>
              </w:rPr>
            </w:pPr>
            <w:r>
              <w:rPr>
                <w:szCs w:val="21"/>
              </w:rPr>
              <w:t>5.5</w:t>
            </w:r>
          </w:p>
        </w:tc>
        <w:tc>
          <w:tcPr>
            <w:tcW w:w="781" w:type="pct"/>
            <w:noWrap w:val="0"/>
            <w:vAlign w:val="center"/>
          </w:tcPr>
          <w:p w14:paraId="0BC6A45D">
            <w:pPr>
              <w:spacing w:line="240" w:lineRule="exact"/>
              <w:jc w:val="center"/>
              <w:rPr>
                <w:szCs w:val="21"/>
              </w:rPr>
            </w:pPr>
            <w:r>
              <w:rPr>
                <w:szCs w:val="21"/>
              </w:rPr>
              <w:t>5.3</w:t>
            </w:r>
          </w:p>
        </w:tc>
        <w:tc>
          <w:tcPr>
            <w:tcW w:w="781" w:type="pct"/>
            <w:noWrap w:val="0"/>
            <w:vAlign w:val="center"/>
          </w:tcPr>
          <w:p w14:paraId="7C632EA8">
            <w:pPr>
              <w:spacing w:line="240" w:lineRule="exact"/>
              <w:jc w:val="center"/>
              <w:rPr>
                <w:szCs w:val="21"/>
              </w:rPr>
            </w:pPr>
            <w:r>
              <w:rPr>
                <w:szCs w:val="21"/>
              </w:rPr>
              <w:t>5.3</w:t>
            </w:r>
          </w:p>
        </w:tc>
        <w:tc>
          <w:tcPr>
            <w:tcW w:w="1362" w:type="pct"/>
            <w:noWrap w:val="0"/>
            <w:vAlign w:val="center"/>
          </w:tcPr>
          <w:p w14:paraId="216780F0">
            <w:pPr>
              <w:spacing w:line="240" w:lineRule="exact"/>
              <w:jc w:val="center"/>
              <w:rPr>
                <w:szCs w:val="21"/>
              </w:rPr>
            </w:pPr>
            <w:r>
              <w:rPr>
                <w:szCs w:val="21"/>
              </w:rPr>
              <w:t>5.4</w:t>
            </w:r>
          </w:p>
        </w:tc>
      </w:tr>
      <w:tr w14:paraId="5413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294" w:type="pct"/>
            <w:noWrap w:val="0"/>
            <w:vAlign w:val="center"/>
          </w:tcPr>
          <w:p w14:paraId="4E140B77">
            <w:pPr>
              <w:spacing w:line="240" w:lineRule="exact"/>
              <w:jc w:val="center"/>
              <w:rPr>
                <w:szCs w:val="21"/>
              </w:rPr>
            </w:pPr>
            <w:r>
              <w:rPr>
                <w:szCs w:val="21"/>
              </w:rPr>
              <w:t>29.94</w:t>
            </w:r>
          </w:p>
        </w:tc>
        <w:tc>
          <w:tcPr>
            <w:tcW w:w="781" w:type="pct"/>
            <w:noWrap w:val="0"/>
            <w:vAlign w:val="center"/>
          </w:tcPr>
          <w:p w14:paraId="680DA149">
            <w:pPr>
              <w:spacing w:line="240" w:lineRule="exact"/>
              <w:jc w:val="center"/>
              <w:rPr>
                <w:szCs w:val="21"/>
              </w:rPr>
            </w:pPr>
            <w:r>
              <w:rPr>
                <w:szCs w:val="21"/>
              </w:rPr>
              <w:t>5.4</w:t>
            </w:r>
          </w:p>
        </w:tc>
        <w:tc>
          <w:tcPr>
            <w:tcW w:w="781" w:type="pct"/>
            <w:noWrap w:val="0"/>
            <w:vAlign w:val="center"/>
          </w:tcPr>
          <w:p w14:paraId="5DD97138">
            <w:pPr>
              <w:spacing w:line="240" w:lineRule="exact"/>
              <w:jc w:val="center"/>
              <w:rPr>
                <w:szCs w:val="21"/>
              </w:rPr>
            </w:pPr>
            <w:r>
              <w:rPr>
                <w:szCs w:val="21"/>
              </w:rPr>
              <w:t>5.4</w:t>
            </w:r>
          </w:p>
        </w:tc>
        <w:tc>
          <w:tcPr>
            <w:tcW w:w="781" w:type="pct"/>
            <w:noWrap w:val="0"/>
            <w:vAlign w:val="center"/>
          </w:tcPr>
          <w:p w14:paraId="329EAB2C">
            <w:pPr>
              <w:spacing w:line="240" w:lineRule="exact"/>
              <w:jc w:val="center"/>
              <w:rPr>
                <w:szCs w:val="21"/>
              </w:rPr>
            </w:pPr>
            <w:r>
              <w:rPr>
                <w:szCs w:val="21"/>
              </w:rPr>
              <w:t>5.3</w:t>
            </w:r>
          </w:p>
        </w:tc>
        <w:tc>
          <w:tcPr>
            <w:tcW w:w="1362" w:type="pct"/>
            <w:noWrap w:val="0"/>
            <w:vAlign w:val="center"/>
          </w:tcPr>
          <w:p w14:paraId="48DB8799">
            <w:pPr>
              <w:spacing w:line="240" w:lineRule="exact"/>
              <w:jc w:val="center"/>
              <w:rPr>
                <w:szCs w:val="21"/>
              </w:rPr>
            </w:pPr>
            <w:r>
              <w:rPr>
                <w:szCs w:val="21"/>
              </w:rPr>
              <w:t>5.4</w:t>
            </w:r>
          </w:p>
        </w:tc>
      </w:tr>
    </w:tbl>
    <w:p w14:paraId="17504AAF">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系统校准零点和量程点后，首先向系统中通入约为满量程60%的气体标准物质，待示值稳定后，记录仪器初值，然后通入零点气体，排出测试仪中标准气体至测试仪回复零位，再通入上述标准气体，并同时启动秒表，待示值升至上述初值的90%时，停止秒表，记下秒表显示的时间，按上述操作方法重复测量3次，取算术平均值为系统的响应时间，按式(16)计算响应时间。</w:t>
      </w:r>
    </w:p>
    <w:p w14:paraId="73B793B2">
      <w:pPr>
        <w:pStyle w:val="40"/>
        <w:ind w:firstLine="0" w:firstLineChars="0"/>
        <w:jc w:val="right"/>
        <w:rPr>
          <w:rFonts w:hAnsi="SimSun" w:cs="Microsoft YaHei"/>
          <w:color w:val="000000"/>
          <w:kern w:val="2"/>
          <w:sz w:val="24"/>
          <w:szCs w:val="22"/>
        </w:rPr>
      </w:pPr>
      <w:r>
        <w:rPr>
          <w:rFonts w:hint="eastAsia" w:hAnsi="SimSun" w:cs="Microsoft YaHei"/>
          <w:color w:val="000000"/>
          <w:kern w:val="2"/>
          <w:position w:val="-24"/>
          <w:sz w:val="24"/>
          <w:szCs w:val="22"/>
        </w:rPr>
        <w:object>
          <v:shape id="_x0000_i1067" o:spt="75" type="#_x0000_t75" style="height:30.55pt;width:74.6pt;" o:ole="t" filled="f" o:preferrelative="t" stroked="f" coordsize="21600,21600">
            <v:path/>
            <v:fill on="f" focussize="0,0"/>
            <v:stroke on="f" joinstyle="miter"/>
            <v:imagedata r:id="rId93" o:title=""/>
            <o:lock v:ext="edit" aspectratio="t"/>
            <w10:wrap type="none"/>
            <w10:anchorlock/>
          </v:shape>
          <o:OLEObject Type="Embed" ProgID="Equation.DSMT4" ShapeID="_x0000_i1067" DrawAspect="Content" ObjectID="_1468075767" r:id="rId92">
            <o:LockedField>false</o:LockedField>
          </o:OLEObject>
        </w:object>
      </w:r>
      <w:r>
        <w:rPr>
          <w:rFonts w:hint="eastAsia" w:hAnsi="SimSun" w:cs="Microsoft YaHei"/>
          <w:color w:val="000000"/>
          <w:kern w:val="2"/>
          <w:sz w:val="24"/>
          <w:szCs w:val="22"/>
        </w:rPr>
        <w:t xml:space="preserve">                           （1</w:t>
      </w:r>
      <w:r>
        <w:rPr>
          <w:rFonts w:hint="eastAsia" w:hAnsi="SimSun" w:cs="Microsoft YaHei"/>
          <w:color w:val="000000"/>
          <w:kern w:val="2"/>
          <w:sz w:val="24"/>
          <w:szCs w:val="22"/>
          <w:lang w:val="en-US" w:eastAsia="zh-CN"/>
        </w:rPr>
        <w:t>6</w:t>
      </w:r>
      <w:r>
        <w:rPr>
          <w:rFonts w:hint="eastAsia" w:hAnsi="SimSun" w:cs="Microsoft YaHei"/>
          <w:color w:val="000000"/>
          <w:kern w:val="2"/>
          <w:sz w:val="24"/>
          <w:szCs w:val="22"/>
        </w:rPr>
        <w:t>）</w:t>
      </w:r>
    </w:p>
    <w:p w14:paraId="4BBB1F35">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式中：</w:t>
      </w:r>
    </w:p>
    <w:p w14:paraId="76C12174">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68" o:spt="75" type="#_x0000_t75" style="height:16pt;width:11pt;" o:ole="t" filled="f" o:preferrelative="t" stroked="f" coordsize="21600,21600">
            <v:path/>
            <v:fill on="f" focussize="0,0"/>
            <v:stroke on="f" joinstyle="miter"/>
            <v:imagedata r:id="rId95" o:title=""/>
            <o:lock v:ext="edit" aspectratio="f"/>
            <w10:wrap type="none"/>
            <w10:anchorlock/>
          </v:shape>
          <o:OLEObject Type="Embed" ProgID="Equation.DSMT4" ShapeID="_x0000_i1068" DrawAspect="Content" ObjectID="_1468075768" r:id="rId94">
            <o:LockedField>false</o:LockedField>
          </o:OLEObject>
        </w:object>
      </w:r>
      <w:r>
        <w:rPr>
          <w:rFonts w:hint="eastAsia"/>
          <w:bCs/>
          <w:color w:val="000000"/>
          <w:sz w:val="24"/>
          <w:lang w:val="en-US" w:eastAsia="zh-CN"/>
        </w:rPr>
        <w:t xml:space="preserve">  —— 3次响应时间测量的算术平均值，s；</w:t>
      </w:r>
    </w:p>
    <w:p w14:paraId="6EA1B1E9">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default" w:ascii="Times New Roman" w:hAnsi="Times New Roman" w:eastAsia="SimSun" w:cs="Times New Roman"/>
          <w:color w:val="auto"/>
          <w:spacing w:val="2"/>
          <w:kern w:val="0"/>
          <w:sz w:val="24"/>
          <w:szCs w:val="21"/>
          <w:lang w:val="en-US" w:eastAsia="zh-CN" w:bidi="ar-SA"/>
        </w:rPr>
      </w:pPr>
      <w:r>
        <w:rPr>
          <w:rFonts w:hint="eastAsia"/>
          <w:bCs/>
          <w:color w:val="000000"/>
          <w:sz w:val="24"/>
          <w:lang w:val="en-US" w:eastAsia="zh-CN"/>
        </w:rPr>
        <w:object>
          <v:shape id="_x0000_i1069" o:spt="75" type="#_x0000_t75" style="height:18pt;width:11pt;" o:ole="t" filled="f" o:preferrelative="t" stroked="f" coordsize="21600,21600">
            <v:path/>
            <v:fill on="f" focussize="0,0"/>
            <v:stroke on="f" joinstyle="miter"/>
            <v:imagedata r:id="rId97" o:title=""/>
            <o:lock v:ext="edit" aspectratio="f"/>
            <w10:wrap type="none"/>
            <w10:anchorlock/>
          </v:shape>
          <o:OLEObject Type="Embed" ProgID="Equation.DSMT4" ShapeID="_x0000_i1069" DrawAspect="Content" ObjectID="_1468075769" r:id="rId96">
            <o:LockedField>false</o:LockedField>
          </o:OLEObject>
        </w:object>
      </w:r>
      <w:r>
        <w:rPr>
          <w:rFonts w:hint="eastAsia"/>
          <w:bCs/>
          <w:color w:val="000000"/>
          <w:sz w:val="24"/>
          <w:lang w:val="en-US" w:eastAsia="zh-CN"/>
        </w:rPr>
        <w:t xml:space="preserve"> 、</w:t>
      </w:r>
      <w:r>
        <w:rPr>
          <w:rFonts w:hint="eastAsia"/>
          <w:bCs/>
          <w:color w:val="000000"/>
          <w:sz w:val="24"/>
          <w:lang w:val="en-US" w:eastAsia="zh-CN"/>
        </w:rPr>
        <w:object>
          <v:shape id="_x0000_i1070" o:spt="75" type="#_x0000_t75" style="height:18pt;width:13pt;" o:ole="t" filled="f" o:preferrelative="t" stroked="f" coordsize="21600,21600">
            <v:path/>
            <v:fill on="f" focussize="0,0"/>
            <v:stroke on="f" joinstyle="miter"/>
            <v:imagedata r:id="rId99" o:title=""/>
            <o:lock v:ext="edit" aspectratio="f"/>
            <w10:wrap type="none"/>
            <w10:anchorlock/>
          </v:shape>
          <o:OLEObject Type="Embed" ProgID="Equation.DSMT4" ShapeID="_x0000_i1070" DrawAspect="Content" ObjectID="_1468075770" r:id="rId98">
            <o:LockedField>false</o:LockedField>
          </o:OLEObject>
        </w:object>
      </w:r>
      <w:r>
        <w:rPr>
          <w:rFonts w:hint="eastAsia"/>
          <w:bCs/>
          <w:color w:val="000000"/>
          <w:sz w:val="24"/>
          <w:lang w:val="en-US" w:eastAsia="zh-CN"/>
        </w:rPr>
        <w:t xml:space="preserve"> 、</w:t>
      </w:r>
      <w:r>
        <w:rPr>
          <w:rFonts w:hint="eastAsia"/>
          <w:bCs/>
          <w:color w:val="000000"/>
          <w:sz w:val="24"/>
          <w:lang w:val="en-US" w:eastAsia="zh-CN"/>
        </w:rPr>
        <w:object>
          <v:shape id="_x0000_i1071" o:spt="75" type="#_x0000_t75" style="height:18pt;width:12pt;" o:ole="t" filled="f" o:preferrelative="t" stroked="f" coordsize="21600,21600">
            <v:path/>
            <v:fill on="f" focussize="0,0"/>
            <v:stroke on="f" joinstyle="miter"/>
            <v:imagedata r:id="rId101" o:title=""/>
            <o:lock v:ext="edit" aspectratio="f"/>
            <w10:wrap type="none"/>
            <w10:anchorlock/>
          </v:shape>
          <o:OLEObject Type="Embed" ProgID="Equation.DSMT4" ShapeID="_x0000_i1071" DrawAspect="Content" ObjectID="_1468075771" r:id="rId100">
            <o:LockedField>false</o:LockedField>
          </o:OLEObject>
        </w:object>
      </w:r>
      <w:r>
        <w:rPr>
          <w:rFonts w:hint="eastAsia"/>
          <w:bCs/>
          <w:color w:val="000000"/>
          <w:sz w:val="24"/>
          <w:lang w:val="en-US" w:eastAsia="zh-CN"/>
        </w:rPr>
        <w:t xml:space="preserve">  —— 3次响应时间测量值，s。</w:t>
      </w:r>
    </w:p>
    <w:p w14:paraId="4C2E155D">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7.10协同效应</w:t>
      </w:r>
    </w:p>
    <w:p w14:paraId="76CED2B0">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参考附件16《环境保护》第II卷 — 《航空器发动机的排放物》考虑氧气影响和不同碳氢化合物影响。</w:t>
      </w:r>
    </w:p>
    <w:p w14:paraId="06A42513">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氧气影响用两种已知相对精度为±1%、气体浓度约为500ppmC的丙烷混合物进行响应测量：</w:t>
      </w:r>
    </w:p>
    <w:p w14:paraId="56A91195">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(1)10±1%为氧气其余为氮气中的丙烷；</w:t>
      </w:r>
    </w:p>
    <w:p w14:paraId="518CAC8B">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(2)21±1%为氧气其余为氮气中的丙烷。</w:t>
      </w:r>
    </w:p>
    <w:p w14:paraId="6C864DAB">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不同碳氢化合物影响:用四种已知相对精度为±1%、气体浓度约为500ppmC的空气中的不同碳氧化合物的混合物进行响应测量：</w:t>
      </w:r>
    </w:p>
    <w:p w14:paraId="2B28AAE2">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(1)零空气中的丙烷；</w:t>
      </w:r>
    </w:p>
    <w:p w14:paraId="13F9CF7C">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(2)零空气中的丙烯；</w:t>
      </w:r>
    </w:p>
    <w:p w14:paraId="52CFC204">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(3)零空气中的甲苯；</w:t>
      </w:r>
    </w:p>
    <w:p w14:paraId="451AC8AA">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(4)零空气中的正己烷。</w:t>
      </w:r>
    </w:p>
    <w:p w14:paraId="1038E2A3">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如果Ra，Rb，Rc和Rd分别为正常响应(相对于丙烷)，则(Ra–Rb)、(Ra–Rc)和(Ra–Rd)应各小于Ra的5%。如果R1和R2分别为正常响应，则(R1–R2)应小于R1的3%。</w:t>
      </w:r>
    </w:p>
    <w:p w14:paraId="4E510DBB">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试验过程也加入一氧化碳、二氧化碳、一氧化氮等发动机气态污染物，试验过程表明一氧化碳、二氧化碳、一氧化氮等发动机气态污染物量对测量系统读数影响可忽略。</w:t>
      </w:r>
      <w:bookmarkStart w:id="27" w:name="_Toc32006"/>
      <w:bookmarkStart w:id="28" w:name="_Toc25338"/>
      <w:bookmarkStart w:id="29" w:name="_Toc660"/>
    </w:p>
    <w:p w14:paraId="4299FCA4">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协同效应(氧气响应)</w:t>
      </w:r>
      <w:bookmarkEnd w:id="27"/>
      <w:bookmarkEnd w:id="28"/>
      <w:bookmarkEnd w:id="29"/>
      <w:r>
        <w:rPr>
          <w:rFonts w:hint="eastAsia" w:ascii="Times New Roman" w:hAnsi="Times New Roman" w:eastAsia="SimSun" w:cs="Times New Roman"/>
          <w:color w:val="auto"/>
          <w:spacing w:val="2"/>
          <w:kern w:val="0"/>
          <w:sz w:val="24"/>
          <w:szCs w:val="21"/>
          <w:lang w:val="en-US" w:eastAsia="zh-CN" w:bidi="ar-SA"/>
        </w:rPr>
        <w:t>校准方法如下:</w:t>
      </w:r>
    </w:p>
    <w:p w14:paraId="059C552A">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系统校准零点和量程点后，通入（10±1）%为氧气其余为氮中丙烷气体标准物质（以甲烷计数浓度500μmol/mol）。通入（21±1）%为氧气其余为氮中丙烷气体标准物质(以甲烷计数浓度500μmol/mol)，测量完成后，通入零气体检查示值，零点变化量大于1%FS或0.5μmol/mol，则重新进行测量。重复上述步骤3次，计算3次示值的算术平均值。按式(17)进行归一化处理，记录归一化示值。按式(18)判断协同效应(氧气响应)。</w:t>
      </w:r>
    </w:p>
    <w:p w14:paraId="1FB4692E">
      <w:pPr>
        <w:pStyle w:val="40"/>
        <w:ind w:firstLine="0" w:firstLineChars="0"/>
        <w:jc w:val="right"/>
        <w:rPr>
          <w:rFonts w:hAnsi="SimSun" w:cs="Microsoft YaHei"/>
          <w:color w:val="000000"/>
          <w:kern w:val="2"/>
          <w:sz w:val="24"/>
          <w:szCs w:val="22"/>
        </w:rPr>
      </w:pPr>
      <w:r>
        <w:rPr>
          <w:rFonts w:hint="eastAsia" w:hAnsi="SimSun" w:cs="Microsoft YaHei"/>
          <w:color w:val="000000"/>
          <w:kern w:val="2"/>
          <w:position w:val="-32"/>
          <w:sz w:val="24"/>
          <w:szCs w:val="22"/>
        </w:rPr>
        <w:object>
          <v:shape id="_x0000_i1072" o:spt="75" type="#_x0000_t75" style="height:37.55pt;width:52.75pt;" o:ole="t" filled="f" o:preferrelative="t" stroked="f" coordsize="21600,21600">
            <v:path/>
            <v:fill on="f" focussize="0,0"/>
            <v:stroke on="f" joinstyle="miter"/>
            <v:imagedata r:id="rId103" o:title=""/>
            <o:lock v:ext="edit" aspectratio="t"/>
            <w10:wrap type="none"/>
            <w10:anchorlock/>
          </v:shape>
          <o:OLEObject Type="Embed" ProgID="Equation.DSMT4" ShapeID="_x0000_i1072" DrawAspect="Content" ObjectID="_1468075772" r:id="rId102">
            <o:LockedField>false</o:LockedField>
          </o:OLEObject>
        </w:object>
      </w:r>
      <w:r>
        <w:rPr>
          <w:rFonts w:hint="eastAsia" w:hAnsi="SimSun" w:cs="Microsoft YaHei"/>
          <w:color w:val="000000"/>
          <w:kern w:val="2"/>
          <w:sz w:val="24"/>
          <w:szCs w:val="22"/>
        </w:rPr>
        <w:t xml:space="preserve">                             （1</w:t>
      </w:r>
      <w:r>
        <w:rPr>
          <w:rFonts w:hint="eastAsia" w:hAnsi="SimSun" w:cs="Microsoft YaHei"/>
          <w:color w:val="000000"/>
          <w:kern w:val="2"/>
          <w:sz w:val="24"/>
          <w:szCs w:val="22"/>
          <w:lang w:val="en-US" w:eastAsia="zh-CN"/>
        </w:rPr>
        <w:t>7</w:t>
      </w:r>
      <w:r>
        <w:rPr>
          <w:rFonts w:hint="eastAsia" w:hAnsi="SimSun" w:cs="Microsoft YaHei"/>
          <w:color w:val="000000"/>
          <w:kern w:val="2"/>
          <w:sz w:val="24"/>
          <w:szCs w:val="22"/>
        </w:rPr>
        <w:t>）</w:t>
      </w:r>
    </w:p>
    <w:p w14:paraId="515805C0">
      <w:pPr>
        <w:pStyle w:val="40"/>
        <w:ind w:firstLine="0" w:firstLineChars="0"/>
        <w:jc w:val="right"/>
        <w:rPr>
          <w:rFonts w:hAnsi="SimSun" w:cs="Microsoft YaHei"/>
          <w:color w:val="000000"/>
          <w:kern w:val="2"/>
          <w:sz w:val="24"/>
          <w:szCs w:val="22"/>
        </w:rPr>
      </w:pPr>
      <w:r>
        <w:rPr>
          <w:rFonts w:hint="eastAsia" w:hAnsi="SimSun" w:cs="Microsoft YaHei"/>
          <w:color w:val="000000"/>
          <w:kern w:val="2"/>
          <w:sz w:val="24"/>
          <w:szCs w:val="22"/>
        </w:rPr>
        <w:object>
          <v:shape id="_x0000_i1073" o:spt="75" type="#_x0000_t75" style="height:33.55pt;width:66.65pt;" o:ole="t" filled="f" o:preferrelative="t" stroked="f" coordsize="21600,21600">
            <v:path/>
            <v:fill on="f" focussize="0,0"/>
            <v:stroke on="f" joinstyle="miter"/>
            <v:imagedata r:id="rId105" o:title=""/>
            <o:lock v:ext="edit" aspectratio="t"/>
            <w10:wrap type="none"/>
            <w10:anchorlock/>
          </v:shape>
          <o:OLEObject Type="Embed" ProgID="Equation.DSMT4" ShapeID="_x0000_i1073" DrawAspect="Content" ObjectID="_1468075773" r:id="rId104">
            <o:LockedField>false</o:LockedField>
          </o:OLEObject>
        </w:object>
      </w:r>
      <w:r>
        <w:rPr>
          <w:rFonts w:hint="eastAsia" w:hAnsi="SimSun" w:cs="Microsoft YaHei"/>
          <w:color w:val="000000"/>
          <w:kern w:val="2"/>
          <w:sz w:val="24"/>
          <w:szCs w:val="22"/>
        </w:rPr>
        <w:t xml:space="preserve">                           （1</w:t>
      </w:r>
      <w:r>
        <w:rPr>
          <w:rFonts w:hint="eastAsia" w:hAnsi="SimSun" w:cs="Microsoft YaHei"/>
          <w:color w:val="000000"/>
          <w:kern w:val="2"/>
          <w:sz w:val="24"/>
          <w:szCs w:val="22"/>
          <w:lang w:val="en-US" w:eastAsia="zh-CN"/>
        </w:rPr>
        <w:t>8</w:t>
      </w:r>
      <w:r>
        <w:rPr>
          <w:rFonts w:hint="eastAsia" w:hAnsi="SimSun" w:cs="Microsoft YaHei"/>
          <w:color w:val="000000"/>
          <w:kern w:val="2"/>
          <w:sz w:val="24"/>
          <w:szCs w:val="22"/>
        </w:rPr>
        <w:t>）</w:t>
      </w:r>
    </w:p>
    <w:p w14:paraId="6544F429">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式中：</w:t>
      </w:r>
    </w:p>
    <w:p w14:paraId="5BA3C87A">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74" o:spt="75" type="#_x0000_t75" style="height:20pt;width:11pt;" o:ole="t" filled="f" o:preferrelative="t" stroked="f" coordsize="21600,21600">
            <v:path/>
            <v:fill on="f" focussize="0,0"/>
            <v:stroke on="f" joinstyle="miter"/>
            <v:imagedata r:id="rId107" o:title=""/>
            <o:lock v:ext="edit" aspectratio="f"/>
            <w10:wrap type="none"/>
            <w10:anchorlock/>
          </v:shape>
          <o:OLEObject Type="Embed" ProgID="Equation.DSMT4" ShapeID="_x0000_i1074" DrawAspect="Content" ObjectID="_1468075774" r:id="rId106">
            <o:LockedField>false</o:LockedField>
          </o:OLEObject>
        </w:object>
      </w:r>
      <w:r>
        <w:rPr>
          <w:rFonts w:hint="eastAsia"/>
          <w:bCs/>
          <w:color w:val="000000"/>
          <w:sz w:val="24"/>
          <w:lang w:val="en-US" w:eastAsia="zh-CN"/>
        </w:rPr>
        <w:t xml:space="preserve">  ——通入混合气体标准物质仪器示值的算术平均值，μmol/mol；</w:t>
      </w:r>
    </w:p>
    <w:p w14:paraId="063AEE0E">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75" o:spt="75" type="#_x0000_t75" style="height:19pt;width:17pt;" o:ole="t" filled="f" o:preferrelative="t" stroked="f" coordsize="21600,21600">
            <v:path/>
            <v:fill on="f" focussize="0,0"/>
            <v:stroke on="f" joinstyle="miter"/>
            <v:imagedata r:id="rId109" o:title=""/>
            <o:lock v:ext="edit" aspectratio="f"/>
            <w10:wrap type="none"/>
            <w10:anchorlock/>
          </v:shape>
          <o:OLEObject Type="Embed" ProgID="Equation.DSMT4" ShapeID="_x0000_i1075" DrawAspect="Content" ObjectID="_1468075775" r:id="rId108">
            <o:LockedField>false</o:LockedField>
          </o:OLEObject>
        </w:object>
      </w:r>
      <w:r>
        <w:rPr>
          <w:rFonts w:hint="eastAsia"/>
          <w:bCs/>
          <w:color w:val="000000"/>
          <w:sz w:val="24"/>
          <w:lang w:val="en-US" w:eastAsia="zh-CN"/>
        </w:rPr>
        <w:t xml:space="preserve"> ——通入混合气体标准物质的标称值，μmol/mol；</w:t>
      </w:r>
    </w:p>
    <w:p w14:paraId="26A57D7B">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76" o:spt="75" type="#_x0000_t75" style="height:18pt;width:13pt;" o:ole="t" filled="f" o:preferrelative="t" stroked="f" coordsize="21600,21600">
            <v:path/>
            <v:fill on="f" focussize="0,0"/>
            <v:stroke on="f" joinstyle="miter"/>
            <v:imagedata r:id="rId111" o:title=""/>
            <o:lock v:ext="edit" aspectratio="f"/>
            <w10:wrap type="none"/>
            <w10:anchorlock/>
          </v:shape>
          <o:OLEObject Type="Embed" ProgID="Equation.DSMT4" ShapeID="_x0000_i1076" DrawAspect="Content" ObjectID="_1468075776" r:id="rId110">
            <o:LockedField>false</o:LockedField>
          </o:OLEObject>
        </w:object>
      </w:r>
      <w:r>
        <w:rPr>
          <w:rFonts w:hint="eastAsia"/>
          <w:bCs/>
          <w:color w:val="000000"/>
          <w:sz w:val="24"/>
          <w:lang w:val="en-US" w:eastAsia="zh-CN"/>
        </w:rPr>
        <w:t xml:space="preserve">  ——通入（10±1）%为氧气其余为氮中丙烷气体标准物质，仪器示值归一化响应，μmol/mol；</w:t>
      </w:r>
    </w:p>
    <w:p w14:paraId="47731CE7">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77" o:spt="75" type="#_x0000_t75" style="height:18pt;width:15pt;" o:ole="t" filled="f" o:preferrelative="t" stroked="f" coordsize="21600,21600">
            <v:path/>
            <v:fill on="f" focussize="0,0"/>
            <v:stroke on="f" joinstyle="miter"/>
            <v:imagedata r:id="rId113" o:title=""/>
            <o:lock v:ext="edit" aspectratio="f"/>
            <w10:wrap type="none"/>
            <w10:anchorlock/>
          </v:shape>
          <o:OLEObject Type="Embed" ProgID="Equation.DSMT4" ShapeID="_x0000_i1077" DrawAspect="Content" ObjectID="_1468075777" r:id="rId112">
            <o:LockedField>false</o:LockedField>
          </o:OLEObject>
        </w:object>
      </w:r>
      <w:r>
        <w:rPr>
          <w:rFonts w:hint="eastAsia"/>
          <w:bCs/>
          <w:color w:val="000000"/>
          <w:sz w:val="24"/>
          <w:lang w:val="en-US" w:eastAsia="zh-CN"/>
        </w:rPr>
        <w:t xml:space="preserve">  ——（21±1）%为氧气其余为氮中丙烷气体标准物质，仪器示值归一响应，μmol/mol。</w:t>
      </w:r>
    </w:p>
    <w:p w14:paraId="12A3FA37">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协同效应(HC化合物响应)校准方法如下:</w:t>
      </w:r>
    </w:p>
    <w:p w14:paraId="4B4522F5">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系统校准零点和量程点后，依次通入浓度为空气中丙烷、空气中丙烯、空气中甲苯、空气中正己烷的气体标准气体(以甲烷计数浓度500μmol/mol)，记录仪器示值。测量完成后，通入零气体检查示值，如果零点变化量大于1%FS或0.5μmol/mol，则重新进行测量。重复上述步骤3次，计算3次示值的算术平均值。按式(17)进行归一化处理，记录归一化示值(相较于丙烷)Ra、Rb、Rc、Rd。按式(19~21)判断协同效应(不同碳氢化合物响应)，则(Ra-Rb)、(Ra-Rc)、(Ra-Rd)均应小于Ra的5%。</w:t>
      </w:r>
    </w:p>
    <w:p w14:paraId="42F0262B">
      <w:pPr>
        <w:pStyle w:val="40"/>
        <w:ind w:firstLine="0" w:firstLineChars="0"/>
        <w:jc w:val="right"/>
        <w:rPr>
          <w:rFonts w:hAnsi="SimSun" w:cs="Microsoft YaHei"/>
          <w:color w:val="000000"/>
          <w:kern w:val="2"/>
          <w:sz w:val="24"/>
          <w:szCs w:val="22"/>
        </w:rPr>
      </w:pPr>
      <w:r>
        <w:rPr>
          <w:rFonts w:hint="eastAsia" w:hAnsi="SimSun" w:cs="Microsoft YaHei"/>
          <w:color w:val="000000"/>
          <w:kern w:val="2"/>
          <w:sz w:val="24"/>
          <w:szCs w:val="22"/>
        </w:rPr>
        <w:object>
          <v:shape id="_x0000_i1078" o:spt="75" type="#_x0000_t75" style="height:33.55pt;width:67.6pt;" o:ole="t" filled="f" o:preferrelative="t" stroked="f" coordsize="21600,21600">
            <v:path/>
            <v:fill on="f" focussize="0,0"/>
            <v:stroke on="f" joinstyle="miter"/>
            <v:imagedata r:id="rId115" o:title=""/>
            <o:lock v:ext="edit" aspectratio="t"/>
            <w10:wrap type="none"/>
            <w10:anchorlock/>
          </v:shape>
          <o:OLEObject Type="Embed" ProgID="Equation.DSMT4" ShapeID="_x0000_i1078" DrawAspect="Content" ObjectID="_1468075778" r:id="rId114">
            <o:LockedField>false</o:LockedField>
          </o:OLEObject>
        </w:object>
      </w:r>
      <w:r>
        <w:rPr>
          <w:rFonts w:hint="eastAsia" w:hAnsi="SimSun" w:cs="Microsoft YaHei"/>
          <w:color w:val="000000"/>
          <w:kern w:val="2"/>
          <w:sz w:val="24"/>
          <w:szCs w:val="22"/>
        </w:rPr>
        <w:t xml:space="preserve">                           （1</w:t>
      </w:r>
      <w:r>
        <w:rPr>
          <w:rFonts w:hint="eastAsia" w:hAnsi="SimSun" w:cs="Microsoft YaHei"/>
          <w:color w:val="000000"/>
          <w:kern w:val="2"/>
          <w:sz w:val="24"/>
          <w:szCs w:val="22"/>
          <w:lang w:val="en-US" w:eastAsia="zh-CN"/>
        </w:rPr>
        <w:t>9</w:t>
      </w:r>
      <w:r>
        <w:rPr>
          <w:rFonts w:hint="eastAsia" w:hAnsi="SimSun" w:cs="Microsoft YaHei"/>
          <w:color w:val="000000"/>
          <w:kern w:val="2"/>
          <w:sz w:val="24"/>
          <w:szCs w:val="22"/>
        </w:rPr>
        <w:t>）</w:t>
      </w:r>
    </w:p>
    <w:p w14:paraId="0984E09E">
      <w:pPr>
        <w:pStyle w:val="40"/>
        <w:ind w:firstLine="0" w:firstLineChars="0"/>
        <w:jc w:val="right"/>
        <w:rPr>
          <w:rFonts w:hAnsi="SimSun" w:cs="Microsoft YaHei"/>
          <w:color w:val="000000"/>
          <w:kern w:val="2"/>
          <w:sz w:val="24"/>
          <w:szCs w:val="22"/>
        </w:rPr>
      </w:pPr>
      <w:r>
        <w:rPr>
          <w:rFonts w:hint="eastAsia" w:hAnsi="SimSun" w:cs="Microsoft YaHei"/>
          <w:color w:val="000000"/>
          <w:kern w:val="2"/>
          <w:sz w:val="24"/>
          <w:szCs w:val="22"/>
        </w:rPr>
        <w:object>
          <v:shape id="_x0000_i1079" o:spt="75" type="#_x0000_t75" style="height:33.55pt;width:67.6pt;" o:ole="t" filled="f" o:preferrelative="t" stroked="f" coordsize="21600,21600">
            <v:path/>
            <v:fill on="f" focussize="0,0"/>
            <v:stroke on="f" joinstyle="miter"/>
            <v:imagedata r:id="rId117" o:title=""/>
            <o:lock v:ext="edit" aspectratio="t"/>
            <w10:wrap type="none"/>
            <w10:anchorlock/>
          </v:shape>
          <o:OLEObject Type="Embed" ProgID="Equation.DSMT4" ShapeID="_x0000_i1079" DrawAspect="Content" ObjectID="_1468075779" r:id="rId116">
            <o:LockedField>false</o:LockedField>
          </o:OLEObject>
        </w:object>
      </w:r>
      <w:r>
        <w:rPr>
          <w:rFonts w:hint="eastAsia" w:hAnsi="SimSun" w:cs="Microsoft YaHei"/>
          <w:color w:val="000000"/>
          <w:kern w:val="2"/>
          <w:sz w:val="24"/>
          <w:szCs w:val="22"/>
        </w:rPr>
        <w:t xml:space="preserve">                           （</w:t>
      </w:r>
      <w:r>
        <w:rPr>
          <w:rFonts w:hint="eastAsia" w:hAnsi="SimSun" w:cs="Microsoft YaHei"/>
          <w:color w:val="000000"/>
          <w:kern w:val="2"/>
          <w:sz w:val="24"/>
          <w:szCs w:val="22"/>
          <w:lang w:val="en-US" w:eastAsia="zh-CN"/>
        </w:rPr>
        <w:t>20</w:t>
      </w:r>
      <w:r>
        <w:rPr>
          <w:rFonts w:hint="eastAsia" w:hAnsi="SimSun" w:cs="Microsoft YaHei"/>
          <w:color w:val="000000"/>
          <w:kern w:val="2"/>
          <w:sz w:val="24"/>
          <w:szCs w:val="22"/>
        </w:rPr>
        <w:t>）</w:t>
      </w:r>
    </w:p>
    <w:p w14:paraId="503D4ED3">
      <w:pPr>
        <w:pStyle w:val="40"/>
        <w:ind w:firstLine="0" w:firstLineChars="0"/>
        <w:jc w:val="right"/>
        <w:rPr>
          <w:rFonts w:hAnsi="SimSun" w:cs="Microsoft YaHei"/>
          <w:color w:val="000000"/>
          <w:kern w:val="2"/>
          <w:sz w:val="24"/>
          <w:szCs w:val="22"/>
        </w:rPr>
      </w:pPr>
      <w:r>
        <w:rPr>
          <w:rFonts w:hint="eastAsia" w:hAnsi="SimSun" w:cs="Microsoft YaHei"/>
          <w:color w:val="000000"/>
          <w:kern w:val="2"/>
          <w:sz w:val="24"/>
          <w:szCs w:val="22"/>
        </w:rPr>
        <w:object>
          <v:shape id="_x0000_i1080" o:spt="75" type="#_x0000_t75" style="height:33.55pt;width:68.65pt;" o:ole="t" filled="f" o:preferrelative="t" stroked="f" coordsize="21600,21600">
            <v:path/>
            <v:fill on="f" focussize="0,0"/>
            <v:stroke on="f" joinstyle="miter"/>
            <v:imagedata r:id="rId119" o:title=""/>
            <o:lock v:ext="edit" aspectratio="t"/>
            <w10:wrap type="none"/>
            <w10:anchorlock/>
          </v:shape>
          <o:OLEObject Type="Embed" ProgID="Equation.DSMT4" ShapeID="_x0000_i1080" DrawAspect="Content" ObjectID="_1468075780" r:id="rId118">
            <o:LockedField>false</o:LockedField>
          </o:OLEObject>
        </w:object>
      </w:r>
      <w:r>
        <w:rPr>
          <w:rFonts w:hint="eastAsia" w:hAnsi="SimSun" w:cs="Microsoft YaHei"/>
          <w:color w:val="000000"/>
          <w:kern w:val="2"/>
          <w:sz w:val="24"/>
          <w:szCs w:val="22"/>
        </w:rPr>
        <w:t xml:space="preserve">                           （</w:t>
      </w:r>
      <w:r>
        <w:rPr>
          <w:rFonts w:hint="eastAsia" w:hAnsi="SimSun" w:cs="Microsoft YaHei"/>
          <w:color w:val="000000"/>
          <w:kern w:val="2"/>
          <w:sz w:val="24"/>
          <w:szCs w:val="22"/>
          <w:lang w:val="en-US" w:eastAsia="zh-CN"/>
        </w:rPr>
        <w:t>21</w:t>
      </w:r>
      <w:r>
        <w:rPr>
          <w:rFonts w:hint="eastAsia" w:hAnsi="SimSun" w:cs="Microsoft YaHei"/>
          <w:color w:val="000000"/>
          <w:kern w:val="2"/>
          <w:sz w:val="24"/>
          <w:szCs w:val="22"/>
        </w:rPr>
        <w:t>）</w:t>
      </w:r>
    </w:p>
    <w:p w14:paraId="72BAF3E5">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t>式中：</w:t>
      </w:r>
    </w:p>
    <w:p w14:paraId="47917B49">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81" o:spt="75" type="#_x0000_t75" style="height:18pt;width:15pt;" o:ole="t" filled="f" o:preferrelative="t" stroked="f" coordsize="21600,21600">
            <v:path/>
            <v:fill on="f" focussize="0,0"/>
            <v:stroke on="f" joinstyle="miter"/>
            <v:imagedata r:id="rId121" o:title=""/>
            <o:lock v:ext="edit" aspectratio="f"/>
            <w10:wrap type="none"/>
            <w10:anchorlock/>
          </v:shape>
          <o:OLEObject Type="Embed" ProgID="Equation.DSMT4" ShapeID="_x0000_i1081" DrawAspect="Content" ObjectID="_1468075781" r:id="rId120">
            <o:LockedField>false</o:LockedField>
          </o:OLEObject>
        </w:object>
      </w:r>
      <w:r>
        <w:rPr>
          <w:rFonts w:hint="eastAsia"/>
          <w:bCs/>
          <w:color w:val="000000"/>
          <w:sz w:val="24"/>
          <w:lang w:val="en-US" w:eastAsia="zh-CN"/>
        </w:rPr>
        <w:t xml:space="preserve"> ——通入空气中丙烷(以甲烷计数浓度500μmol/mol)，仪器归一化响应，μmol/mol；</w:t>
      </w:r>
    </w:p>
    <w:p w14:paraId="5B94C333">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82" o:spt="75" type="#_x0000_t75" style="height:18pt;width:15pt;" o:ole="t" filled="f" o:preferrelative="t" stroked="f" coordsize="21600,21600">
            <v:path/>
            <v:fill on="f" focussize="0,0"/>
            <v:stroke on="f" joinstyle="miter"/>
            <v:imagedata r:id="rId123" o:title=""/>
            <o:lock v:ext="edit" aspectratio="f"/>
            <w10:wrap type="none"/>
            <w10:anchorlock/>
          </v:shape>
          <o:OLEObject Type="Embed" ProgID="Equation.DSMT4" ShapeID="_x0000_i1082" DrawAspect="Content" ObjectID="_1468075782" r:id="rId122">
            <o:LockedField>false</o:LockedField>
          </o:OLEObject>
        </w:object>
      </w:r>
      <w:r>
        <w:rPr>
          <w:rFonts w:hint="eastAsia"/>
          <w:bCs/>
          <w:color w:val="000000"/>
          <w:sz w:val="24"/>
          <w:lang w:val="en-US" w:eastAsia="zh-CN"/>
        </w:rPr>
        <w:t xml:space="preserve"> ——通入空气中丙烯(以甲烷计数浓度500μmol/mol)，仪器归一化响应，μmol/mol；</w:t>
      </w:r>
    </w:p>
    <w:p w14:paraId="3E5DE780">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83" o:spt="75" type="#_x0000_t75" style="height:18pt;width:13.95pt;" o:ole="t" filled="f" o:preferrelative="t" stroked="f" coordsize="21600,21600">
            <v:path/>
            <v:fill on="f" focussize="0,0"/>
            <v:stroke on="f" joinstyle="miter"/>
            <v:imagedata r:id="rId125" o:title=""/>
            <o:lock v:ext="edit" aspectratio="f"/>
            <w10:wrap type="none"/>
            <w10:anchorlock/>
          </v:shape>
          <o:OLEObject Type="Embed" ProgID="Equation.DSMT4" ShapeID="_x0000_i1083" DrawAspect="Content" ObjectID="_1468075783" r:id="rId124">
            <o:LockedField>false</o:LockedField>
          </o:OLEObject>
        </w:object>
      </w:r>
      <w:r>
        <w:rPr>
          <w:rFonts w:hint="eastAsia"/>
          <w:bCs/>
          <w:color w:val="000000"/>
          <w:sz w:val="24"/>
          <w:lang w:val="en-US" w:eastAsia="zh-CN"/>
        </w:rPr>
        <w:t xml:space="preserve"> ——通入空气中甲苯(以甲烷计数浓度500μmol/mol)，仪器归一化响应，μmol/mol；</w:t>
      </w:r>
    </w:p>
    <w:p w14:paraId="77681CCD">
      <w:pPr>
        <w:keepNext w:val="0"/>
        <w:keepLines w:val="0"/>
        <w:pageBreakBefore w:val="0"/>
        <w:widowControl/>
        <w:numPr>
          <w:ilvl w:val="0"/>
          <w:numId w:val="0"/>
        </w:numPr>
        <w:tabs>
          <w:tab w:val="left" w:pos="0"/>
        </w:tabs>
        <w:kinsoku/>
        <w:wordWrap/>
        <w:overflowPunct/>
        <w:topLinePunct w:val="0"/>
        <w:autoSpaceDE/>
        <w:autoSpaceDN/>
        <w:bidi w:val="0"/>
        <w:adjustRightInd w:val="0"/>
        <w:snapToGrid w:val="0"/>
        <w:spacing w:line="300" w:lineRule="auto"/>
        <w:ind w:firstLine="480" w:firstLineChars="200"/>
        <w:textAlignment w:val="auto"/>
        <w:outlineLvl w:val="1"/>
        <w:rPr>
          <w:rFonts w:hint="eastAsia"/>
          <w:bCs/>
          <w:color w:val="000000"/>
          <w:sz w:val="24"/>
          <w:lang w:val="en-US" w:eastAsia="zh-CN"/>
        </w:rPr>
      </w:pPr>
      <w:r>
        <w:rPr>
          <w:rFonts w:hint="eastAsia"/>
          <w:bCs/>
          <w:color w:val="000000"/>
          <w:sz w:val="24"/>
          <w:lang w:val="en-US" w:eastAsia="zh-CN"/>
        </w:rPr>
        <w:object>
          <v:shape id="_x0000_i1084" o:spt="75" type="#_x0000_t75" style="height:18pt;width:15pt;" o:ole="t" filled="f" o:preferrelative="t" stroked="f" coordsize="21600,21600">
            <v:path/>
            <v:fill on="f" focussize="0,0"/>
            <v:stroke on="f" joinstyle="miter"/>
            <v:imagedata r:id="rId127" o:title=""/>
            <o:lock v:ext="edit" aspectratio="f"/>
            <w10:wrap type="none"/>
            <w10:anchorlock/>
          </v:shape>
          <o:OLEObject Type="Embed" ProgID="Equation.DSMT4" ShapeID="_x0000_i1084" DrawAspect="Content" ObjectID="_1468075784" r:id="rId126">
            <o:LockedField>false</o:LockedField>
          </o:OLEObject>
        </w:object>
      </w:r>
      <w:r>
        <w:rPr>
          <w:rFonts w:hint="eastAsia"/>
          <w:bCs/>
          <w:color w:val="000000"/>
          <w:sz w:val="24"/>
          <w:lang w:val="en-US" w:eastAsia="zh-CN"/>
        </w:rPr>
        <w:t xml:space="preserve"> ——通入空气中正己烷(以甲烷计数浓度500μmol/mol)，仪器归一化响应，μmol/mol；</w:t>
      </w:r>
    </w:p>
    <w:p w14:paraId="17D82191">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bookmarkStart w:id="30" w:name="_Toc31988"/>
      <w:r>
        <w:rPr>
          <w:rFonts w:hint="eastAsia" w:ascii="Times New Roman" w:hAnsi="Times New Roman" w:eastAsia="SimSun" w:cs="Times New Roman"/>
          <w:color w:val="auto"/>
          <w:spacing w:val="2"/>
          <w:kern w:val="0"/>
          <w:sz w:val="24"/>
          <w:szCs w:val="21"/>
          <w:lang w:val="en-US" w:eastAsia="zh-CN" w:bidi="ar-SA"/>
        </w:rPr>
        <w:t>8  校准结果</w:t>
      </w:r>
      <w:bookmarkEnd w:id="30"/>
      <w:r>
        <w:rPr>
          <w:rFonts w:hint="eastAsia" w:ascii="Times New Roman" w:hAnsi="Times New Roman" w:eastAsia="SimSun" w:cs="Times New Roman"/>
          <w:color w:val="auto"/>
          <w:spacing w:val="2"/>
          <w:kern w:val="0"/>
          <w:sz w:val="24"/>
          <w:szCs w:val="21"/>
          <w:lang w:val="en-US" w:eastAsia="zh-CN" w:bidi="ar-SA"/>
        </w:rPr>
        <w:t>的处理</w:t>
      </w:r>
    </w:p>
    <w:p w14:paraId="0767A8A8">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校准结束后出具校准证书，校准证书应准确、客观地报告校准结果</w:t>
      </w:r>
      <w:bookmarkStart w:id="31" w:name="_Toc5438"/>
      <w:r>
        <w:rPr>
          <w:rFonts w:hint="eastAsia" w:ascii="Times New Roman" w:hAnsi="Times New Roman" w:eastAsia="SimSun" w:cs="Times New Roman"/>
          <w:color w:val="auto"/>
          <w:spacing w:val="2"/>
          <w:kern w:val="0"/>
          <w:sz w:val="24"/>
          <w:szCs w:val="21"/>
          <w:lang w:val="en-US" w:eastAsia="zh-CN" w:bidi="ar-SA"/>
        </w:rPr>
        <w:t>。根据《国家计量校准规范编写规则》，明确了校准记录信息格式，包括记录的名称、唯一性编号，计量标准器具名称、证书号、有效期，被校准对象的名称、编号、型号/规格、校准单位，依据的校准技术文件，环境条件、校准地点，测量数据与处理结果、测量不确定度，校准人/核验人签字、校准日期等信息。</w:t>
      </w:r>
    </w:p>
    <w:p w14:paraId="493533B2">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9  复校时间间隔</w:t>
      </w:r>
      <w:bookmarkEnd w:id="31"/>
    </w:p>
    <w:p w14:paraId="424DC556">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航空发动机气态排放物（HC）测量系统建议的复校时间间隔一般不超过12个月。由于复校时间间隔的长短由仪器的使用情况、使用者、仪器本身质量等诸因素决定的。</w:t>
      </w:r>
    </w:p>
    <w:p w14:paraId="5A58C62B">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附录A 航空发动机气态排放物（HC）测量系统校准记录格式</w:t>
      </w:r>
    </w:p>
    <w:p w14:paraId="5412D1A4">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附录B 航空发动机气态排放物（HC）测量系统校准证书内页格式</w:t>
      </w:r>
    </w:p>
    <w:p w14:paraId="00BE2AD9">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附录C 航空发动机气态排放物（HC）测量系统示值引用误差的测量不确定度评定示例</w:t>
      </w:r>
    </w:p>
    <w:p w14:paraId="3582143B">
      <w:pPr>
        <w:adjustRightInd w:val="0"/>
        <w:snapToGrid w:val="0"/>
        <w:spacing w:before="143" w:beforeLines="50" w:after="143" w:afterLines="50"/>
        <w:outlineLvl w:val="0"/>
        <w:rPr>
          <w:rFonts w:hint="eastAsia" w:ascii="STKaiti" w:hAnsi="STKaiti" w:eastAsia="SimHei"/>
          <w:color w:val="000000" w:themeColor="text1"/>
          <w:sz w:val="32"/>
          <w:szCs w:val="21"/>
          <w:lang w:val="en-US" w:eastAsia="zh-CN"/>
          <w14:textFill>
            <w14:solidFill>
              <w14:schemeClr w14:val="tx1"/>
            </w14:solidFill>
          </w14:textFill>
        </w:rPr>
      </w:pPr>
      <w:r>
        <w:rPr>
          <w:rFonts w:hint="eastAsia" w:ascii="SimHei" w:hAnsi="SimHei" w:eastAsia="SimHei"/>
          <w:color w:val="000000" w:themeColor="text1"/>
          <w:sz w:val="32"/>
          <w:szCs w:val="24"/>
          <w:lang w:val="en-US" w:eastAsia="zh-CN"/>
          <w14:textFill>
            <w14:solidFill>
              <w14:schemeClr w14:val="tx1"/>
            </w14:solidFill>
          </w14:textFill>
        </w:rPr>
        <w:t>五</w:t>
      </w:r>
      <w:r>
        <w:rPr>
          <w:rFonts w:hint="eastAsia" w:ascii="SimHei" w:hAnsi="SimHei" w:eastAsia="SimHei"/>
          <w:color w:val="000000" w:themeColor="text1"/>
          <w:sz w:val="32"/>
          <w:szCs w:val="24"/>
          <w14:textFill>
            <w14:solidFill>
              <w14:schemeClr w14:val="tx1"/>
            </w14:solidFill>
          </w14:textFill>
        </w:rPr>
        <w:t>、其他需说明的事项</w:t>
      </w:r>
    </w:p>
    <w:p w14:paraId="5EFFC376">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1、验证试验的情况和结果</w:t>
      </w:r>
    </w:p>
    <w:p w14:paraId="10D893F7">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本标准方法已通过商发企业标准在型号中于一应用，应用效果良好。2024年3月—9月本标准对于民用航空发动机气态排放物(HC)测量系统开展了校准试验，仪器均满足规范要求。</w:t>
      </w:r>
    </w:p>
    <w:p w14:paraId="5563A3AF">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2、与现行相关法律、法规、规章及标准的协调性</w:t>
      </w:r>
    </w:p>
    <w:p w14:paraId="60BA718C">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本标准提出的校准方法、合格判据与国外同类标准水平相当。比国内相关气态污染物测量仪合格判据要求更严格。</w:t>
      </w:r>
    </w:p>
    <w:p w14:paraId="192BFD8A">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国内与航空发动机排气排出物测试仪相关的法律、法规、标准主要有《航空发动机适航审定》(CCAR—33R2)、《涡轮发动机飞机燃油排泄和排气排出物规定》(CCAR—34)、ICAO国际民用航空公约 附件16 环境保护 第II 卷 — 航空器发动机的排放物、ICAO Doc 9501 环境技术手册 第 II 卷 — 航空器发动机排放审定程序。本标准可用于支持表明对ICAO国际民用航空公约 附件16 环境保护 第II 卷 — 航空器发动机的排放物附录3附录A碳氢化合物分析仪的符合性验证工作。本标准与现有文件无相互冲突的内容。</w:t>
      </w:r>
    </w:p>
    <w:p w14:paraId="431BC200">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cs="Times New Roman"/>
          <w:color w:val="auto"/>
          <w:spacing w:val="2"/>
          <w:kern w:val="0"/>
          <w:sz w:val="24"/>
          <w:szCs w:val="21"/>
          <w:lang w:val="en-US" w:eastAsia="zh-CN" w:bidi="ar-SA"/>
        </w:rPr>
        <w:t>3、</w:t>
      </w:r>
      <w:r>
        <w:rPr>
          <w:rFonts w:hint="eastAsia" w:ascii="Times New Roman" w:hAnsi="Times New Roman" w:eastAsia="SimSun" w:cs="Times New Roman"/>
          <w:color w:val="auto"/>
          <w:spacing w:val="2"/>
          <w:kern w:val="0"/>
          <w:sz w:val="24"/>
          <w:szCs w:val="21"/>
          <w:lang w:val="en-US" w:eastAsia="zh-CN" w:bidi="ar-SA"/>
        </w:rPr>
        <w:t>本标准(编制说明)编制过程中参考资料如下:</w:t>
      </w:r>
    </w:p>
    <w:p w14:paraId="105CB753">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JJG 693</w:t>
      </w:r>
      <w:r>
        <w:rPr>
          <w:rFonts w:hint="eastAsia" w:ascii="Times New Roman" w:hAnsi="Times New Roman" w:cs="Times New Roman"/>
          <w:color w:val="auto"/>
          <w:spacing w:val="2"/>
          <w:kern w:val="0"/>
          <w:sz w:val="24"/>
          <w:szCs w:val="21"/>
          <w:lang w:val="en-US" w:eastAsia="zh-CN" w:bidi="ar-SA"/>
        </w:rPr>
        <w:t>—</w:t>
      </w:r>
      <w:r>
        <w:rPr>
          <w:rFonts w:hint="eastAsia" w:ascii="Times New Roman" w:hAnsi="Times New Roman" w:eastAsia="SimSun" w:cs="Times New Roman"/>
          <w:color w:val="auto"/>
          <w:spacing w:val="2"/>
          <w:kern w:val="0"/>
          <w:sz w:val="24"/>
          <w:szCs w:val="21"/>
          <w:lang w:val="en-US" w:eastAsia="zh-CN" w:bidi="ar-SA"/>
        </w:rPr>
        <w:t>2011  可燃气体检测报警器检定规程</w:t>
      </w:r>
    </w:p>
    <w:p w14:paraId="26F67B00">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JJF1585</w:t>
      </w:r>
      <w:r>
        <w:rPr>
          <w:rFonts w:hint="eastAsia" w:ascii="Times New Roman" w:hAnsi="Times New Roman" w:cs="Times New Roman"/>
          <w:color w:val="auto"/>
          <w:spacing w:val="2"/>
          <w:kern w:val="0"/>
          <w:sz w:val="24"/>
          <w:szCs w:val="21"/>
          <w:lang w:val="en-US" w:eastAsia="zh-CN" w:bidi="ar-SA"/>
        </w:rPr>
        <w:t>—</w:t>
      </w:r>
      <w:r>
        <w:rPr>
          <w:rFonts w:hint="eastAsia" w:ascii="Times New Roman" w:hAnsi="Times New Roman" w:eastAsia="SimSun" w:cs="Times New Roman"/>
          <w:color w:val="auto"/>
          <w:spacing w:val="2"/>
          <w:kern w:val="0"/>
          <w:sz w:val="24"/>
          <w:szCs w:val="21"/>
          <w:lang w:val="en-US" w:eastAsia="zh-CN" w:bidi="ar-SA"/>
        </w:rPr>
        <w:t>2016  固定污染源烟气排放连续监测系统校准规范</w:t>
      </w:r>
    </w:p>
    <w:p w14:paraId="328A1E70">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JJF 1907</w:t>
      </w:r>
      <w:r>
        <w:rPr>
          <w:rFonts w:hint="eastAsia" w:ascii="Times New Roman" w:hAnsi="Times New Roman" w:cs="Times New Roman"/>
          <w:color w:val="auto"/>
          <w:spacing w:val="2"/>
          <w:kern w:val="0"/>
          <w:sz w:val="24"/>
          <w:szCs w:val="21"/>
          <w:lang w:val="en-US" w:eastAsia="zh-CN" w:bidi="ar-SA"/>
        </w:rPr>
        <w:t>—</w:t>
      </w:r>
      <w:r>
        <w:rPr>
          <w:rFonts w:hint="eastAsia" w:ascii="Times New Roman" w:hAnsi="Times New Roman" w:eastAsia="SimSun" w:cs="Times New Roman"/>
          <w:color w:val="auto"/>
          <w:spacing w:val="2"/>
          <w:kern w:val="0"/>
          <w:sz w:val="24"/>
          <w:szCs w:val="21"/>
          <w:lang w:val="en-US" w:eastAsia="zh-CN" w:bidi="ar-SA"/>
        </w:rPr>
        <w:t>2021  环境空气在线监测气体分析仪校准规范</w:t>
      </w:r>
    </w:p>
    <w:p w14:paraId="6157ADF8">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cs="Times New Roman"/>
          <w:color w:val="auto"/>
          <w:spacing w:val="2"/>
          <w:kern w:val="0"/>
          <w:sz w:val="24"/>
          <w:szCs w:val="21"/>
          <w:lang w:val="en-US" w:eastAsia="zh-CN" w:bidi="ar-SA"/>
        </w:rPr>
        <w:t>GB/T 18345.1—2001  燃气轮机 烟气排放 第一部分:测量与评估</w:t>
      </w:r>
    </w:p>
    <w:p w14:paraId="3657B61B">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HJ 76</w:t>
      </w:r>
      <w:r>
        <w:rPr>
          <w:rFonts w:hint="eastAsia" w:ascii="Times New Roman" w:hAnsi="Times New Roman" w:cs="Times New Roman"/>
          <w:color w:val="auto"/>
          <w:spacing w:val="2"/>
          <w:kern w:val="0"/>
          <w:sz w:val="24"/>
          <w:szCs w:val="21"/>
          <w:lang w:val="en-US" w:eastAsia="zh-CN" w:bidi="ar-SA"/>
        </w:rPr>
        <w:t>—</w:t>
      </w:r>
      <w:r>
        <w:rPr>
          <w:rFonts w:hint="eastAsia" w:ascii="Times New Roman" w:hAnsi="Times New Roman" w:eastAsia="SimSun" w:cs="Times New Roman"/>
          <w:color w:val="auto"/>
          <w:spacing w:val="2"/>
          <w:kern w:val="0"/>
          <w:sz w:val="24"/>
          <w:szCs w:val="21"/>
          <w:lang w:val="en-US" w:eastAsia="zh-CN" w:bidi="ar-SA"/>
        </w:rPr>
        <w:t>2017  固定污染源烟气(SO</w:t>
      </w:r>
      <w:r>
        <w:rPr>
          <w:rFonts w:hint="eastAsia" w:ascii="Times New Roman" w:hAnsi="Times New Roman" w:eastAsia="SimSun" w:cs="Times New Roman"/>
          <w:color w:val="auto"/>
          <w:spacing w:val="2"/>
          <w:kern w:val="0"/>
          <w:sz w:val="24"/>
          <w:szCs w:val="21"/>
          <w:vertAlign w:val="subscript"/>
          <w:lang w:val="en-US" w:eastAsia="zh-CN" w:bidi="ar-SA"/>
        </w:rPr>
        <w:t>2</w:t>
      </w:r>
      <w:r>
        <w:rPr>
          <w:rFonts w:hint="eastAsia" w:ascii="Times New Roman" w:hAnsi="Times New Roman" w:eastAsia="SimSun" w:cs="Times New Roman"/>
          <w:color w:val="auto"/>
          <w:spacing w:val="2"/>
          <w:kern w:val="0"/>
          <w:sz w:val="24"/>
          <w:szCs w:val="21"/>
          <w:lang w:val="en-US" w:eastAsia="zh-CN" w:bidi="ar-SA"/>
        </w:rPr>
        <w:t>、NO</w:t>
      </w:r>
      <w:r>
        <w:rPr>
          <w:rFonts w:hint="eastAsia" w:ascii="Times New Roman" w:hAnsi="Times New Roman" w:eastAsia="SimSun" w:cs="Times New Roman"/>
          <w:color w:val="auto"/>
          <w:spacing w:val="2"/>
          <w:kern w:val="0"/>
          <w:sz w:val="24"/>
          <w:szCs w:val="21"/>
          <w:vertAlign w:val="subscript"/>
          <w:lang w:val="en-US" w:eastAsia="zh-CN" w:bidi="ar-SA"/>
        </w:rPr>
        <w:t>X</w:t>
      </w:r>
      <w:r>
        <w:rPr>
          <w:rFonts w:hint="eastAsia" w:ascii="Times New Roman" w:hAnsi="Times New Roman" w:eastAsia="SimSun" w:cs="Times New Roman"/>
          <w:color w:val="auto"/>
          <w:spacing w:val="2"/>
          <w:kern w:val="0"/>
          <w:sz w:val="24"/>
          <w:szCs w:val="21"/>
          <w:lang w:val="en-US" w:eastAsia="zh-CN" w:bidi="ar-SA"/>
        </w:rPr>
        <w:t>、颗粒物)排放连续监测系统技术要求及检测方法</w:t>
      </w:r>
    </w:p>
    <w:p w14:paraId="15CFB426">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HJ 654</w:t>
      </w:r>
      <w:r>
        <w:rPr>
          <w:rFonts w:hint="eastAsia" w:ascii="Times New Roman" w:hAnsi="Times New Roman" w:cs="Times New Roman"/>
          <w:color w:val="auto"/>
          <w:spacing w:val="2"/>
          <w:kern w:val="0"/>
          <w:sz w:val="24"/>
          <w:szCs w:val="21"/>
          <w:lang w:val="en-US" w:eastAsia="zh-CN" w:bidi="ar-SA"/>
        </w:rPr>
        <w:t>—</w:t>
      </w:r>
      <w:r>
        <w:rPr>
          <w:rFonts w:hint="eastAsia" w:ascii="Times New Roman" w:hAnsi="Times New Roman" w:eastAsia="SimSun" w:cs="Times New Roman"/>
          <w:color w:val="auto"/>
          <w:spacing w:val="2"/>
          <w:kern w:val="0"/>
          <w:sz w:val="24"/>
          <w:szCs w:val="21"/>
          <w:lang w:val="en-US" w:eastAsia="zh-CN" w:bidi="ar-SA"/>
        </w:rPr>
        <w:t>2013  环境空气气态污染物(SO</w:t>
      </w:r>
      <w:r>
        <w:rPr>
          <w:rFonts w:hint="eastAsia" w:ascii="Times New Roman" w:hAnsi="Times New Roman" w:eastAsia="SimSun" w:cs="Times New Roman"/>
          <w:color w:val="auto"/>
          <w:spacing w:val="2"/>
          <w:kern w:val="0"/>
          <w:sz w:val="24"/>
          <w:szCs w:val="21"/>
          <w:vertAlign w:val="subscript"/>
          <w:lang w:val="en-US" w:eastAsia="zh-CN" w:bidi="ar-SA"/>
        </w:rPr>
        <w:t>2</w:t>
      </w:r>
      <w:r>
        <w:rPr>
          <w:rFonts w:hint="eastAsia" w:ascii="Times New Roman" w:hAnsi="Times New Roman" w:eastAsia="SimSun" w:cs="Times New Roman"/>
          <w:color w:val="auto"/>
          <w:spacing w:val="2"/>
          <w:kern w:val="0"/>
          <w:sz w:val="24"/>
          <w:szCs w:val="21"/>
          <w:lang w:val="en-US" w:eastAsia="zh-CN" w:bidi="ar-SA"/>
        </w:rPr>
        <w:t>、NO</w:t>
      </w:r>
      <w:r>
        <w:rPr>
          <w:rFonts w:hint="eastAsia" w:ascii="Times New Roman" w:hAnsi="Times New Roman" w:eastAsia="SimSun" w:cs="Times New Roman"/>
          <w:color w:val="auto"/>
          <w:spacing w:val="2"/>
          <w:kern w:val="0"/>
          <w:sz w:val="24"/>
          <w:szCs w:val="21"/>
          <w:vertAlign w:val="subscript"/>
          <w:lang w:val="en-US" w:eastAsia="zh-CN" w:bidi="ar-SA"/>
        </w:rPr>
        <w:t>2</w:t>
      </w:r>
      <w:r>
        <w:rPr>
          <w:rFonts w:hint="eastAsia" w:ascii="Times New Roman" w:hAnsi="Times New Roman" w:eastAsia="SimSun" w:cs="Times New Roman"/>
          <w:color w:val="auto"/>
          <w:spacing w:val="2"/>
          <w:kern w:val="0"/>
          <w:sz w:val="24"/>
          <w:szCs w:val="21"/>
          <w:lang w:val="en-US" w:eastAsia="zh-CN" w:bidi="ar-SA"/>
        </w:rPr>
        <w:t>、O</w:t>
      </w:r>
      <w:r>
        <w:rPr>
          <w:rFonts w:hint="eastAsia" w:ascii="Times New Roman" w:hAnsi="Times New Roman" w:eastAsia="SimSun" w:cs="Times New Roman"/>
          <w:color w:val="auto"/>
          <w:spacing w:val="2"/>
          <w:kern w:val="0"/>
          <w:sz w:val="24"/>
          <w:szCs w:val="21"/>
          <w:vertAlign w:val="subscript"/>
          <w:lang w:val="en-US" w:eastAsia="zh-CN" w:bidi="ar-SA"/>
        </w:rPr>
        <w:t>3</w:t>
      </w:r>
      <w:r>
        <w:rPr>
          <w:rFonts w:hint="eastAsia" w:ascii="Times New Roman" w:hAnsi="Times New Roman" w:eastAsia="SimSun" w:cs="Times New Roman"/>
          <w:color w:val="auto"/>
          <w:spacing w:val="2"/>
          <w:kern w:val="0"/>
          <w:sz w:val="24"/>
          <w:szCs w:val="21"/>
          <w:lang w:val="en-US" w:eastAsia="zh-CN" w:bidi="ar-SA"/>
        </w:rPr>
        <w:t xml:space="preserve">、CO)连续自动监测系统技术要求及检测方法 </w:t>
      </w:r>
    </w:p>
    <w:p w14:paraId="5CE37318">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HJ 1012</w:t>
      </w:r>
      <w:r>
        <w:rPr>
          <w:rFonts w:hint="eastAsia" w:ascii="Times New Roman" w:hAnsi="Times New Roman" w:cs="Times New Roman"/>
          <w:color w:val="auto"/>
          <w:spacing w:val="2"/>
          <w:kern w:val="0"/>
          <w:sz w:val="24"/>
          <w:szCs w:val="21"/>
          <w:lang w:val="en-US" w:eastAsia="zh-CN" w:bidi="ar-SA"/>
        </w:rPr>
        <w:t>—</w:t>
      </w:r>
      <w:r>
        <w:rPr>
          <w:rFonts w:hint="eastAsia" w:ascii="Times New Roman" w:hAnsi="Times New Roman" w:eastAsia="SimSun" w:cs="Times New Roman"/>
          <w:color w:val="auto"/>
          <w:spacing w:val="2"/>
          <w:kern w:val="0"/>
          <w:sz w:val="24"/>
          <w:szCs w:val="21"/>
          <w:lang w:val="en-US" w:eastAsia="zh-CN" w:bidi="ar-SA"/>
        </w:rPr>
        <w:t>2018  环境空气和废气总烃甲烷和非甲烷总烃便携式监测仪技术要求及检测方法</w:t>
      </w:r>
    </w:p>
    <w:p w14:paraId="620D114C">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HJ 1013</w:t>
      </w:r>
      <w:r>
        <w:rPr>
          <w:rFonts w:hint="eastAsia" w:ascii="Times New Roman" w:hAnsi="Times New Roman" w:cs="Times New Roman"/>
          <w:color w:val="auto"/>
          <w:spacing w:val="2"/>
          <w:kern w:val="0"/>
          <w:sz w:val="24"/>
          <w:szCs w:val="21"/>
          <w:lang w:val="en-US" w:eastAsia="zh-CN" w:bidi="ar-SA"/>
        </w:rPr>
        <w:t>—</w:t>
      </w:r>
      <w:r>
        <w:rPr>
          <w:rFonts w:hint="eastAsia" w:ascii="Times New Roman" w:hAnsi="Times New Roman" w:eastAsia="SimSun" w:cs="Times New Roman"/>
          <w:color w:val="auto"/>
          <w:spacing w:val="2"/>
          <w:kern w:val="0"/>
          <w:sz w:val="24"/>
          <w:szCs w:val="21"/>
          <w:lang w:val="en-US" w:eastAsia="zh-CN" w:bidi="ar-SA"/>
        </w:rPr>
        <w:t>2018  固定污染源废气非甲烷总烃连续监测系统技术要求及检测方法</w:t>
      </w:r>
    </w:p>
    <w:p w14:paraId="434CAC3B">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r>
        <w:rPr>
          <w:rFonts w:hint="eastAsia" w:ascii="Times New Roman" w:hAnsi="Times New Roman" w:cs="Times New Roman"/>
          <w:color w:val="auto"/>
          <w:spacing w:val="2"/>
          <w:kern w:val="0"/>
          <w:sz w:val="24"/>
          <w:szCs w:val="21"/>
          <w:lang w:val="en-US" w:eastAsia="zh-CN" w:bidi="ar-SA"/>
        </w:rPr>
        <w:t>HB 6117—2020  航空燃气涡轮发动机气态污染物的连续取样及测量方法</w:t>
      </w:r>
    </w:p>
    <w:p w14:paraId="27E70BF2">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ICAO国际民用航空公约 附件16 环境保护 第II 卷 — 航空器发动机的排放物，第五版，2023年</w:t>
      </w:r>
    </w:p>
    <w:p w14:paraId="6C557921">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ICAO Doc 9501 环境技术手册 第 II 卷 — 航空器发动机排放审定程序，第四版</w:t>
      </w:r>
      <w:r>
        <w:rPr>
          <w:rFonts w:hint="eastAsia" w:ascii="Times New Roman" w:hAnsi="Times New Roman" w:cs="Times New Roman"/>
          <w:color w:val="auto"/>
          <w:spacing w:val="2"/>
          <w:kern w:val="0"/>
          <w:sz w:val="24"/>
          <w:szCs w:val="21"/>
          <w:lang w:val="en-US" w:eastAsia="zh-CN" w:bidi="ar-SA"/>
        </w:rPr>
        <w:t>，</w:t>
      </w:r>
      <w:r>
        <w:rPr>
          <w:rFonts w:hint="eastAsia" w:ascii="Times New Roman" w:hAnsi="Times New Roman" w:eastAsia="SimSun" w:cs="Times New Roman"/>
          <w:color w:val="auto"/>
          <w:spacing w:val="2"/>
          <w:kern w:val="0"/>
          <w:sz w:val="24"/>
          <w:szCs w:val="21"/>
          <w:lang w:val="en-US" w:eastAsia="zh-CN" w:bidi="ar-SA"/>
        </w:rPr>
        <w:t>2020年</w:t>
      </w:r>
    </w:p>
    <w:p w14:paraId="3095625D">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r>
        <w:rPr>
          <w:rFonts w:hint="eastAsia" w:ascii="Times New Roman" w:hAnsi="Times New Roman" w:eastAsia="SimSun" w:cs="Times New Roman"/>
          <w:color w:val="auto"/>
          <w:spacing w:val="2"/>
          <w:kern w:val="0"/>
          <w:sz w:val="24"/>
          <w:szCs w:val="21"/>
          <w:lang w:val="en-US" w:eastAsia="zh-CN" w:bidi="ar-SA"/>
        </w:rPr>
        <w:t>SAE ARP 1256 E Procedure for the Continuous Sampling and Measurement of Gaseous Emissions from Aircraft Turbine Engines</w:t>
      </w:r>
    </w:p>
    <w:p w14:paraId="7AA38E56">
      <w:pPr>
        <w:adjustRightInd w:val="0"/>
        <w:snapToGrid w:val="0"/>
        <w:spacing w:before="143" w:beforeLines="50" w:after="143" w:afterLines="50"/>
        <w:outlineLvl w:val="0"/>
        <w:rPr>
          <w:rFonts w:hint="eastAsia" w:ascii="SimHei" w:hAnsi="SimHei" w:eastAsia="SimHei"/>
          <w:color w:val="000000" w:themeColor="text1"/>
          <w:sz w:val="32"/>
          <w:szCs w:val="24"/>
          <w14:textFill>
            <w14:solidFill>
              <w14:schemeClr w14:val="tx1"/>
            </w14:solidFill>
          </w14:textFill>
        </w:rPr>
      </w:pPr>
      <w:r>
        <w:rPr>
          <w:rFonts w:hint="eastAsia" w:ascii="SimHei" w:hAnsi="SimHei" w:eastAsia="SimHei"/>
          <w:color w:val="000000" w:themeColor="text1"/>
          <w:sz w:val="32"/>
          <w:szCs w:val="24"/>
          <w:lang w:val="en-US" w:eastAsia="zh-CN"/>
          <w14:textFill>
            <w14:solidFill>
              <w14:schemeClr w14:val="tx1"/>
            </w14:solidFill>
          </w14:textFill>
        </w:rPr>
        <w:t>六</w:t>
      </w:r>
      <w:r>
        <w:rPr>
          <w:rFonts w:hint="eastAsia" w:ascii="SimHei" w:hAnsi="SimHei" w:eastAsia="SimHei"/>
          <w:color w:val="000000" w:themeColor="text1"/>
          <w:sz w:val="32"/>
          <w:szCs w:val="24"/>
          <w14:textFill>
            <w14:solidFill>
              <w14:schemeClr w14:val="tx1"/>
            </w14:solidFill>
          </w14:textFill>
        </w:rPr>
        <w:t>、总结</w:t>
      </w:r>
    </w:p>
    <w:p w14:paraId="0910941B">
      <w:pPr>
        <w:pStyle w:val="36"/>
        <w:snapToGrid w:val="0"/>
        <w:spacing w:line="300" w:lineRule="auto"/>
        <w:ind w:firstLine="488"/>
        <w:jc w:val="both"/>
        <w:rPr>
          <w:rFonts w:hint="eastAsia" w:ascii="Times New Roman" w:hAnsi="Times New Roman" w:cs="Times New Roman"/>
          <w:color w:val="auto"/>
          <w:spacing w:val="2"/>
          <w:kern w:val="0"/>
          <w:sz w:val="24"/>
          <w:szCs w:val="21"/>
          <w:lang w:val="en-US" w:eastAsia="zh-CN" w:bidi="ar-SA"/>
        </w:rPr>
      </w:pPr>
      <w:r>
        <w:rPr>
          <w:rFonts w:hint="eastAsia" w:ascii="Times New Roman" w:hAnsi="Times New Roman" w:cs="Times New Roman"/>
          <w:color w:val="auto"/>
          <w:spacing w:val="2"/>
          <w:kern w:val="0"/>
          <w:sz w:val="24"/>
          <w:szCs w:val="21"/>
          <w:lang w:val="en-US" w:eastAsia="zh-CN" w:bidi="ar-SA"/>
        </w:rPr>
        <w:t>在校准规范的修订过程中，编制小组以国内外技术资料及相关标准、大量试验数据为技术依据，本着科学合理、易于操作和普遍适用的原则进行了起草。希望经过审核，规范将更科学、更全面、更合理。</w:t>
      </w:r>
    </w:p>
    <w:p w14:paraId="3C967B24">
      <w:pPr>
        <w:pStyle w:val="36"/>
        <w:snapToGrid w:val="0"/>
        <w:spacing w:line="300" w:lineRule="auto"/>
        <w:ind w:firstLine="488"/>
        <w:jc w:val="both"/>
        <w:rPr>
          <w:rFonts w:hint="default" w:ascii="Times New Roman" w:hAnsi="Times New Roman" w:eastAsia="SimSun" w:cs="Times New Roman"/>
          <w:color w:val="auto"/>
          <w:spacing w:val="2"/>
          <w:kern w:val="0"/>
          <w:sz w:val="24"/>
          <w:szCs w:val="21"/>
          <w:lang w:val="en-US" w:eastAsia="zh-CN" w:bidi="ar-SA"/>
        </w:rPr>
      </w:pPr>
    </w:p>
    <w:p w14:paraId="7A836C23">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p>
    <w:p w14:paraId="60C2C0AF">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p>
    <w:p w14:paraId="6F8726D8">
      <w:pPr>
        <w:pStyle w:val="36"/>
        <w:snapToGrid w:val="0"/>
        <w:spacing w:line="300" w:lineRule="auto"/>
        <w:ind w:firstLine="488"/>
        <w:jc w:val="both"/>
        <w:rPr>
          <w:rFonts w:hint="eastAsia" w:ascii="Times New Roman" w:hAnsi="Times New Roman" w:eastAsia="SimSun" w:cs="Times New Roman"/>
          <w:color w:val="auto"/>
          <w:spacing w:val="2"/>
          <w:kern w:val="0"/>
          <w:sz w:val="24"/>
          <w:szCs w:val="21"/>
          <w:lang w:val="en-US" w:eastAsia="zh-CN" w:bidi="ar-SA"/>
        </w:rPr>
      </w:pPr>
    </w:p>
    <w:p w14:paraId="2194A7C0">
      <w:pPr>
        <w:pStyle w:val="36"/>
        <w:snapToGrid w:val="0"/>
        <w:spacing w:line="300" w:lineRule="auto"/>
        <w:ind w:firstLine="0" w:firstLineChars="0"/>
        <w:jc w:val="center"/>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inline distT="0" distB="0" distL="0" distR="0">
                <wp:extent cx="1316990" cy="0"/>
                <wp:effectExtent l="0" t="0" r="16510" b="19050"/>
                <wp:docPr id="6" name="直接连接符 6"/>
                <wp:cNvGraphicFramePr/>
                <a:graphic xmlns:a="http://schemas.openxmlformats.org/drawingml/2006/main">
                  <a:graphicData uri="http://schemas.microsoft.com/office/word/2010/wordprocessingShape">
                    <wps:wsp>
                      <wps:cNvCnPr/>
                      <wps:spPr>
                        <a:xfrm>
                          <a:off x="0" y="0"/>
                          <a:ext cx="13176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id="_x0000_s1026" o:spid="_x0000_s1026" o:spt="20" style="height:0pt;width:103.7pt;" filled="f" stroked="t" coordsize="21600,21600" o:gfxdata="UEsDBAoAAAAAAIdO4kAAAAAAAAAAAAAAAAAEAAAAZHJzL1BLAwQUAAAACACHTuJAKYY4A9EAAAAC&#10;AQAADwAAAGRycy9kb3ducmV2LnhtbE2PwU7DMAyG70i8Q2QkbizZNKArTScxictulAk4Zo3XViRO&#10;1WTd+vZ4XNjF0q/f+vy5WJ+9EyMOsQukYT5TIJDqYDtqNOw+3h4yEDEZssYFQg0TRliXtzeFyW04&#10;0TuOVWoEQyjmRkObUp9LGesWvYmz0CNxdwiDN4nj0Eg7mBPDvZMLpZ6kNx3xhdb0uGmx/qmOnimP&#10;X9nr1mS7aXLV92q5+dyO5LW+v5urFxAJz+l/GS76rA4lO+3DkWwUTgM/kv4mdwv1vASxv0RZFvJa&#10;vfwFUEsDBBQAAAAIAIdO4kAabFLv8QEAANQDAAAOAAAAZHJzL2Uyb0RvYy54bWytU0tu2zAQ3Rfo&#10;HQjua0kp4jaC5SxipJt+DLQ5wJiiJAL8gcNY9iV6gQLdtasuu+9tkh4jQ8px2nSTRbUgh8OZN/Me&#10;R4vzndFsKwMqZxtezUrOpBWuVbZv+NWnyxevOcMItgXtrGz4XiI/Xz5/thh9LU/c4HQrAyMQi/Xo&#10;Gz7E6OuiQDFIAzhzXlq67FwwEOkY+qINMBK60cVJWc6L0YXWByckInlX0yU/IIanALquU0KunLg2&#10;0sYJNUgNkSjhoDzyZe6266SIH7oOZWS64cQ05pWKkL1Ja7FcQN0H8IMShxbgKS084mRAWSp6hFpB&#10;BHYd1D9QRong0HVxJpwpJiJZEWJRlY+0+TiAl5kLSY3+KDr+P1jxfrsOTLUNn3NmwdCD3375efP5&#10;2+9fX2m9/fGdzZNIo8eaYi/sOhxO6NchMd51waSduLBdFnZ/FFbuIhPkrF5Wr+YlaS7u74qHRB8w&#10;vpHOsGQ0XCubOEMN27cYqRiF3ockt3WXSuv8btqykcDPytMEDTSMHQ0BmcYTIbQ9Z6B7mnIRQ4ZE&#10;p1Wb0hMQhn5zoQPbQpqN/E1BA7Ry8p6dknuaEYT4zrWTu6KCk596O8DkPv/CT02vAIcpJ18lKErR&#10;lrak6KRhsjau3Wdps58eOwceBjNN05/nnP3wMy7v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mG&#10;OAPRAAAAAgEAAA8AAAAAAAAAAQAgAAAAIgAAAGRycy9kb3ducmV2LnhtbFBLAQIUABQAAAAIAIdO&#10;4kAabFLv8QEAANQDAAAOAAAAAAAAAAEAIAAAACABAABkcnMvZTJvRG9jLnhtbFBLBQYAAAAABgAG&#10;AFkBAACDBQAAAAA=&#10;">
                <v:fill on="f" focussize="0,0"/>
                <v:stroke weight="1.5pt" color="#000000 [3200]" joinstyle="round"/>
                <v:imagedata o:title=""/>
                <o:lock v:ext="edit" aspectratio="f"/>
                <w10:wrap type="none"/>
                <w10:anchorlock/>
              </v:line>
            </w:pict>
          </mc:Fallback>
        </mc:AlternateContent>
      </w:r>
    </w:p>
    <w:sectPr>
      <w:headerReference r:id="rId4" w:type="first"/>
      <w:headerReference r:id="rId3" w:type="default"/>
      <w:footerReference r:id="rId5" w:type="default"/>
      <w:pgSz w:w="11907" w:h="16840"/>
      <w:pgMar w:top="1440" w:right="1800" w:bottom="1440" w:left="1800" w:header="720" w:footer="1588" w:gutter="0"/>
      <w:pgNumType w:start="0"/>
      <w:cols w:space="720" w:num="1"/>
      <w:titlePg/>
      <w:docGrid w:type="linesAndChar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embedRegular r:id="rId1" w:fontKey="{C711FDC9-01F0-45B6-8280-0B9461E51E1C}"/>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2" w:fontKey="{419A165D-0358-4889-8365-CF269CEFE165}"/>
  </w:font>
  <w:font w:name="SimHei">
    <w:panose1 w:val="02010609060101010101"/>
    <w:charset w:val="86"/>
    <w:family w:val="auto"/>
    <w:pitch w:val="default"/>
    <w:sig w:usb0="800002BF" w:usb1="38CF7CFA" w:usb2="00000016" w:usb3="00000000" w:csb0="00040001" w:csb1="00000000"/>
    <w:embedRegular r:id="rId3" w:fontKey="{738BAA0F-F9F4-4636-9313-4F2ECD8F5D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embedRegular r:id="rId4" w:fontKey="{04D2002A-E314-4088-89CB-6027A5539E76}"/>
  </w:font>
  <w:font w:name="FangSong">
    <w:panose1 w:val="02010609060101010101"/>
    <w:charset w:val="86"/>
    <w:family w:val="modern"/>
    <w:pitch w:val="default"/>
    <w:sig w:usb0="800002BF" w:usb1="38CF7CFA" w:usb2="00000016" w:usb3="00000000" w:csb0="00040001" w:csb1="00000000"/>
    <w:embedRegular r:id="rId5" w:fontKey="{6323391C-2AD1-443F-8378-8FCA300E0ABF}"/>
  </w:font>
  <w:font w:name="Cambria">
    <w:panose1 w:val="02040503050406030204"/>
    <w:charset w:val="00"/>
    <w:family w:val="roman"/>
    <w:pitch w:val="default"/>
    <w:sig w:usb0="E00006FF" w:usb1="420024FF" w:usb2="02000000" w:usb3="00000000" w:csb0="2000019F" w:csb1="00000000"/>
  </w:font>
  <w:font w:name="DengXian">
    <w:panose1 w:val="02010600030101010101"/>
    <w:charset w:val="86"/>
    <w:family w:val="auto"/>
    <w:pitch w:val="default"/>
    <w:sig w:usb0="A00002BF" w:usb1="38CF7CFA" w:usb2="00000016" w:usb3="00000000" w:csb0="0004000F" w:csb1="00000000"/>
    <w:embedRegular r:id="rId6" w:fontKey="{A4BDC891-2BC2-4A06-ABC5-5ACB20AEDE82}"/>
  </w:font>
  <w:font w:name="STKaiti">
    <w:panose1 w:val="02010600040101010101"/>
    <w:charset w:val="86"/>
    <w:family w:val="auto"/>
    <w:pitch w:val="default"/>
    <w:sig w:usb0="00000287" w:usb1="080F0000" w:usb2="00000000" w:usb3="00000000" w:csb0="0004009F" w:csb1="DFD70000"/>
    <w:embedRegular r:id="rId7" w:fontKey="{6481F1E4-9BA1-4871-B9E3-58CC87078C2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7194843"/>
      <w:docPartObj>
        <w:docPartGallery w:val="autotext"/>
      </w:docPartObj>
    </w:sdtPr>
    <w:sdtContent>
      <w:p w14:paraId="554B8A2E">
        <w:pPr>
          <w:pStyle w:val="11"/>
          <w:jc w:val="center"/>
        </w:pPr>
        <w:r>
          <w:fldChar w:fldCharType="begin"/>
        </w:r>
        <w:r>
          <w:instrText xml:space="preserve">PAGE   \* MERGEFORMAT</w:instrText>
        </w:r>
        <w:r>
          <w:fldChar w:fldCharType="separate"/>
        </w:r>
        <w:r>
          <w:rPr>
            <w:lang w:val="zh-CN"/>
          </w:rPr>
          <w:t>6</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C9B72">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F2145">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C16E25"/>
    <w:multiLevelType w:val="multilevel"/>
    <w:tmpl w:val="2AC16E25"/>
    <w:lvl w:ilvl="0" w:tentative="0">
      <w:start w:val="1"/>
      <w:numFmt w:val="decimal"/>
      <w:pStyle w:val="48"/>
      <w:suff w:val="nothing"/>
      <w:lvlText w:val="%1  "/>
      <w:lvlJc w:val="left"/>
      <w:pPr>
        <w:ind w:left="0" w:firstLine="0"/>
      </w:pPr>
      <w:rPr>
        <w:rFonts w:hint="eastAsia" w:ascii="SimHei" w:eastAsia="SimHei"/>
        <w:b w:val="0"/>
        <w:i w:val="0"/>
        <w:sz w:val="21"/>
      </w:rPr>
    </w:lvl>
    <w:lvl w:ilvl="1" w:tentative="0">
      <w:start w:val="1"/>
      <w:numFmt w:val="decimal"/>
      <w:suff w:val="nothing"/>
      <w:lvlText w:val="%1.%2  "/>
      <w:lvlJc w:val="left"/>
      <w:pPr>
        <w:ind w:left="0" w:firstLine="0"/>
      </w:pPr>
      <w:rPr>
        <w:rFonts w:hint="eastAsia" w:ascii="SimHei" w:eastAsia="SimHei"/>
        <w:b w:val="0"/>
        <w:i w:val="0"/>
        <w:sz w:val="21"/>
      </w:rPr>
    </w:lvl>
    <w:lvl w:ilvl="2" w:tentative="0">
      <w:start w:val="1"/>
      <w:numFmt w:val="decimal"/>
      <w:suff w:val="nothing"/>
      <w:lvlText w:val="%1.%2.%3  "/>
      <w:lvlJc w:val="left"/>
      <w:pPr>
        <w:ind w:left="0" w:firstLine="0"/>
      </w:pPr>
      <w:rPr>
        <w:rFonts w:hint="eastAsia" w:ascii="SimHei" w:eastAsia="SimHei"/>
        <w:b w:val="0"/>
        <w:i w:val="0"/>
        <w:sz w:val="21"/>
      </w:rPr>
    </w:lvl>
    <w:lvl w:ilvl="3" w:tentative="0">
      <w:start w:val="1"/>
      <w:numFmt w:val="decimal"/>
      <w:suff w:val="nothing"/>
      <w:lvlText w:val="%1.%2.%3.%4  "/>
      <w:lvlJc w:val="left"/>
      <w:pPr>
        <w:ind w:left="0" w:firstLine="0"/>
      </w:pPr>
      <w:rPr>
        <w:rFonts w:hint="eastAsia" w:ascii="SimHei" w:eastAsia="SimHei"/>
        <w:b w:val="0"/>
        <w:i w:val="0"/>
        <w:sz w:val="21"/>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03E1C31"/>
    <w:multiLevelType w:val="singleLevel"/>
    <w:tmpl w:val="303E1C31"/>
    <w:lvl w:ilvl="0" w:tentative="0">
      <w:start w:val="1"/>
      <w:numFmt w:val="decimal"/>
      <w:lvlText w:val="%1."/>
      <w:lvlJc w:val="left"/>
      <w:pPr>
        <w:tabs>
          <w:tab w:val="left" w:pos="312"/>
        </w:tabs>
      </w:pPr>
    </w:lvl>
  </w:abstractNum>
  <w:abstractNum w:abstractNumId="2">
    <w:nsid w:val="657D3FBC"/>
    <w:multiLevelType w:val="multilevel"/>
    <w:tmpl w:val="657D3FBC"/>
    <w:lvl w:ilvl="0" w:tentative="0">
      <w:start w:val="1"/>
      <w:numFmt w:val="upperLetter"/>
      <w:pStyle w:val="45"/>
      <w:suff w:val="nothing"/>
      <w:lvlText w:val="附 录 %1"/>
      <w:lvlJc w:val="left"/>
      <w:pPr>
        <w:ind w:left="0" w:firstLine="0"/>
      </w:pPr>
      <w:rPr>
        <w:rFonts w:hint="eastAsia" w:ascii="SimHei" w:hAnsi="Times New Roman" w:eastAsia="SimHei"/>
        <w:b w:val="0"/>
        <w:i w:val="0"/>
        <w:sz w:val="21"/>
      </w:rPr>
    </w:lvl>
    <w:lvl w:ilvl="1" w:tentative="0">
      <w:start w:val="1"/>
      <w:numFmt w:val="decimal"/>
      <w:suff w:val="nothing"/>
      <w:lvlText w:val="%1.%2　"/>
      <w:lvlJc w:val="left"/>
      <w:pPr>
        <w:ind w:left="0" w:firstLine="0"/>
      </w:pPr>
      <w:rPr>
        <w:rFonts w:hint="eastAsia" w:ascii="SimHei" w:hAnsi="Times New Roman" w:eastAsia="SimHei"/>
        <w:b w:val="0"/>
        <w:i w:val="0"/>
        <w:snapToGrid/>
        <w:spacing w:val="0"/>
        <w:w w:val="100"/>
        <w:kern w:val="21"/>
        <w:sz w:val="21"/>
      </w:rPr>
    </w:lvl>
    <w:lvl w:ilvl="2" w:tentative="0">
      <w:start w:val="1"/>
      <w:numFmt w:val="decimal"/>
      <w:suff w:val="nothing"/>
      <w:lvlText w:val="%1.%2.%3　"/>
      <w:lvlJc w:val="left"/>
      <w:pPr>
        <w:ind w:left="0" w:firstLine="0"/>
      </w:pPr>
      <w:rPr>
        <w:rFonts w:hint="eastAsia" w:ascii="SimHei" w:hAnsi="Times New Roman" w:eastAsia="SimHei"/>
        <w:b w:val="0"/>
        <w:i w:val="0"/>
        <w:sz w:val="21"/>
      </w:rPr>
    </w:lvl>
    <w:lvl w:ilvl="3" w:tentative="0">
      <w:start w:val="1"/>
      <w:numFmt w:val="decimal"/>
      <w:suff w:val="nothing"/>
      <w:lvlText w:val="%1.%2.%3.%4　"/>
      <w:lvlJc w:val="left"/>
      <w:pPr>
        <w:ind w:left="0" w:firstLine="0"/>
      </w:pPr>
      <w:rPr>
        <w:rFonts w:hint="eastAsia" w:ascii="SimHei" w:hAnsi="Times New Roman" w:eastAsia="SimHei"/>
        <w:b w:val="0"/>
        <w:i w:val="0"/>
        <w:sz w:val="21"/>
      </w:rPr>
    </w:lvl>
    <w:lvl w:ilvl="4" w:tentative="0">
      <w:start w:val="1"/>
      <w:numFmt w:val="decimal"/>
      <w:suff w:val="nothing"/>
      <w:lvlText w:val="%1.%2.%3.%4.%5　"/>
      <w:lvlJc w:val="left"/>
      <w:pPr>
        <w:ind w:left="0" w:firstLine="0"/>
      </w:pPr>
      <w:rPr>
        <w:rFonts w:hint="eastAsia" w:ascii="SimHei" w:hAnsi="Times New Roman" w:eastAsia="SimHei"/>
        <w:b w:val="0"/>
        <w:i w:val="0"/>
        <w:sz w:val="21"/>
      </w:rPr>
    </w:lvl>
    <w:lvl w:ilvl="5" w:tentative="0">
      <w:start w:val="1"/>
      <w:numFmt w:val="decimal"/>
      <w:suff w:val="nothing"/>
      <w:lvlText w:val="%1.%2.%3.%4.%5.%6　"/>
      <w:lvlJc w:val="left"/>
      <w:pPr>
        <w:ind w:left="0" w:firstLine="0"/>
      </w:pPr>
      <w:rPr>
        <w:rFonts w:hint="eastAsia" w:ascii="SimHei" w:hAnsi="Times New Roman" w:eastAsia="SimHei"/>
        <w:b w:val="0"/>
        <w:i w:val="0"/>
        <w:sz w:val="21"/>
      </w:rPr>
    </w:lvl>
    <w:lvl w:ilvl="6" w:tentative="0">
      <w:start w:val="1"/>
      <w:numFmt w:val="decimal"/>
      <w:suff w:val="nothing"/>
      <w:lvlText w:val="%1.%2.%3.%4.%5.%6.%7　"/>
      <w:lvlJc w:val="left"/>
      <w:pPr>
        <w:ind w:left="0" w:firstLine="0"/>
      </w:pPr>
      <w:rPr>
        <w:rFonts w:hint="eastAsia" w:ascii="SimHei" w:hAnsi="Times New Roman" w:eastAsia="SimHei"/>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39"/>
      <w:suff w:val="nothing"/>
      <w:lvlText w:val="%1%2　"/>
      <w:lvlJc w:val="left"/>
      <w:pPr>
        <w:ind w:left="0" w:firstLine="0"/>
      </w:pPr>
      <w:rPr>
        <w:rFonts w:hint="eastAsia" w:ascii="SimHei" w:hAnsi="Times New Roman" w:eastAsia="SimHei"/>
        <w:b w:val="0"/>
        <w:i w:val="0"/>
        <w:sz w:val="21"/>
      </w:rPr>
    </w:lvl>
    <w:lvl w:ilvl="2" w:tentative="0">
      <w:start w:val="1"/>
      <w:numFmt w:val="decimal"/>
      <w:suff w:val="nothing"/>
      <w:lvlText w:val="%1%2.%3　"/>
      <w:lvlJc w:val="left"/>
      <w:pPr>
        <w:ind w:left="284" w:firstLine="0"/>
      </w:pPr>
      <w:rPr>
        <w:rFonts w:hint="eastAsia" w:ascii="SimHei" w:hAnsi="Times New Roman" w:eastAsia="SimHei"/>
        <w:b w:val="0"/>
        <w:i w:val="0"/>
        <w:sz w:val="21"/>
      </w:rPr>
    </w:lvl>
    <w:lvl w:ilvl="3" w:tentative="0">
      <w:start w:val="1"/>
      <w:numFmt w:val="decimal"/>
      <w:suff w:val="nothing"/>
      <w:lvlText w:val="%1%2.%3.%4　"/>
      <w:lvlJc w:val="left"/>
      <w:pPr>
        <w:ind w:left="0" w:firstLine="0"/>
      </w:pPr>
      <w:rPr>
        <w:rFonts w:hint="eastAsia" w:ascii="SimHei" w:hAnsi="Times New Roman" w:eastAsia="SimHei"/>
        <w:b w:val="0"/>
        <w:i w:val="0"/>
        <w:sz w:val="21"/>
      </w:rPr>
    </w:lvl>
    <w:lvl w:ilvl="4" w:tentative="0">
      <w:start w:val="1"/>
      <w:numFmt w:val="decimal"/>
      <w:suff w:val="nothing"/>
      <w:lvlText w:val="%1%2.%3.%4.%5　"/>
      <w:lvlJc w:val="left"/>
      <w:pPr>
        <w:ind w:left="0" w:firstLine="0"/>
      </w:pPr>
      <w:rPr>
        <w:rFonts w:hint="eastAsia" w:ascii="SimHei" w:hAnsi="Times New Roman" w:eastAsia="SimHei"/>
        <w:b w:val="0"/>
        <w:i w:val="0"/>
        <w:sz w:val="21"/>
      </w:rPr>
    </w:lvl>
    <w:lvl w:ilvl="5" w:tentative="0">
      <w:start w:val="1"/>
      <w:numFmt w:val="decimal"/>
      <w:suff w:val="nothing"/>
      <w:lvlText w:val="%1%2.%3.%4.%5.%6　"/>
      <w:lvlJc w:val="left"/>
      <w:pPr>
        <w:ind w:left="0" w:firstLine="0"/>
      </w:pPr>
      <w:rPr>
        <w:rFonts w:hint="eastAsia" w:ascii="SimHei" w:hAnsi="Times New Roman" w:eastAsia="SimHei"/>
        <w:b w:val="0"/>
        <w:i w:val="0"/>
        <w:sz w:val="21"/>
      </w:rPr>
    </w:lvl>
    <w:lvl w:ilvl="6" w:tentative="0">
      <w:start w:val="1"/>
      <w:numFmt w:val="decimal"/>
      <w:suff w:val="nothing"/>
      <w:lvlText w:val="%1%2.%3.%4.%5.%6.%7　"/>
      <w:lvlJc w:val="left"/>
      <w:pPr>
        <w:ind w:left="0" w:firstLine="0"/>
      </w:pPr>
      <w:rPr>
        <w:rFonts w:hint="eastAsia" w:ascii="SimHei" w:hAnsi="Times New Roman" w:eastAsia="SimHei"/>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4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hNGJiMWVmZTg4ZjFhYWZhYWFiMzBkODkwYWRkZmUifQ=="/>
  </w:docVars>
  <w:rsids>
    <w:rsidRoot w:val="00951545"/>
    <w:rsid w:val="00007EE6"/>
    <w:rsid w:val="000103DB"/>
    <w:rsid w:val="00011AB9"/>
    <w:rsid w:val="000345A5"/>
    <w:rsid w:val="00035DCC"/>
    <w:rsid w:val="00036317"/>
    <w:rsid w:val="0003702F"/>
    <w:rsid w:val="00037134"/>
    <w:rsid w:val="00044C1F"/>
    <w:rsid w:val="000461DC"/>
    <w:rsid w:val="00047ADD"/>
    <w:rsid w:val="00050210"/>
    <w:rsid w:val="000550E6"/>
    <w:rsid w:val="000609B1"/>
    <w:rsid w:val="00066A25"/>
    <w:rsid w:val="00073062"/>
    <w:rsid w:val="000759C8"/>
    <w:rsid w:val="00077F7E"/>
    <w:rsid w:val="0008084E"/>
    <w:rsid w:val="000823D4"/>
    <w:rsid w:val="00086BDB"/>
    <w:rsid w:val="000911C1"/>
    <w:rsid w:val="000A3C7D"/>
    <w:rsid w:val="000A4795"/>
    <w:rsid w:val="000A5C6C"/>
    <w:rsid w:val="000A684F"/>
    <w:rsid w:val="000A6B64"/>
    <w:rsid w:val="000A7A08"/>
    <w:rsid w:val="000B0932"/>
    <w:rsid w:val="000B5600"/>
    <w:rsid w:val="000B5A8F"/>
    <w:rsid w:val="000C257A"/>
    <w:rsid w:val="000C4B6F"/>
    <w:rsid w:val="000C590E"/>
    <w:rsid w:val="000C6172"/>
    <w:rsid w:val="000D1FDC"/>
    <w:rsid w:val="000D38E1"/>
    <w:rsid w:val="000D3F39"/>
    <w:rsid w:val="000D6150"/>
    <w:rsid w:val="000D64C0"/>
    <w:rsid w:val="000E0682"/>
    <w:rsid w:val="000E07AE"/>
    <w:rsid w:val="000E0E64"/>
    <w:rsid w:val="000E10A5"/>
    <w:rsid w:val="000E2CAB"/>
    <w:rsid w:val="000E3240"/>
    <w:rsid w:val="000E39D1"/>
    <w:rsid w:val="000E59DA"/>
    <w:rsid w:val="000F1E9D"/>
    <w:rsid w:val="000F5386"/>
    <w:rsid w:val="000F6FF1"/>
    <w:rsid w:val="000F7066"/>
    <w:rsid w:val="000F7C64"/>
    <w:rsid w:val="000F7FBF"/>
    <w:rsid w:val="0010363F"/>
    <w:rsid w:val="00104175"/>
    <w:rsid w:val="0010590D"/>
    <w:rsid w:val="0010730A"/>
    <w:rsid w:val="00107622"/>
    <w:rsid w:val="0011149B"/>
    <w:rsid w:val="00121EBF"/>
    <w:rsid w:val="00124582"/>
    <w:rsid w:val="00130073"/>
    <w:rsid w:val="00136D2B"/>
    <w:rsid w:val="0014262F"/>
    <w:rsid w:val="00142D9D"/>
    <w:rsid w:val="00143C8A"/>
    <w:rsid w:val="00144023"/>
    <w:rsid w:val="00145F59"/>
    <w:rsid w:val="0014614A"/>
    <w:rsid w:val="001475AC"/>
    <w:rsid w:val="00147648"/>
    <w:rsid w:val="00151035"/>
    <w:rsid w:val="001516CC"/>
    <w:rsid w:val="0015637D"/>
    <w:rsid w:val="00161BD8"/>
    <w:rsid w:val="0016344E"/>
    <w:rsid w:val="0016559B"/>
    <w:rsid w:val="00167053"/>
    <w:rsid w:val="00171B63"/>
    <w:rsid w:val="00180C3F"/>
    <w:rsid w:val="00186E02"/>
    <w:rsid w:val="001870E0"/>
    <w:rsid w:val="00190264"/>
    <w:rsid w:val="00192B1F"/>
    <w:rsid w:val="0019538E"/>
    <w:rsid w:val="001971DF"/>
    <w:rsid w:val="00197A0F"/>
    <w:rsid w:val="00197BEC"/>
    <w:rsid w:val="001A0C0C"/>
    <w:rsid w:val="001B22CF"/>
    <w:rsid w:val="001B2365"/>
    <w:rsid w:val="001B2FF0"/>
    <w:rsid w:val="001B4333"/>
    <w:rsid w:val="001B49D2"/>
    <w:rsid w:val="001B66D2"/>
    <w:rsid w:val="001B6848"/>
    <w:rsid w:val="001B6DFE"/>
    <w:rsid w:val="001C0BE7"/>
    <w:rsid w:val="001C4384"/>
    <w:rsid w:val="001C4397"/>
    <w:rsid w:val="001C5F45"/>
    <w:rsid w:val="001C63A4"/>
    <w:rsid w:val="001D10EC"/>
    <w:rsid w:val="001D4A1E"/>
    <w:rsid w:val="001E0D9E"/>
    <w:rsid w:val="001E4531"/>
    <w:rsid w:val="00200639"/>
    <w:rsid w:val="00200DF9"/>
    <w:rsid w:val="00201EE2"/>
    <w:rsid w:val="002036AF"/>
    <w:rsid w:val="00207576"/>
    <w:rsid w:val="002150C4"/>
    <w:rsid w:val="0021596C"/>
    <w:rsid w:val="0021743E"/>
    <w:rsid w:val="00220862"/>
    <w:rsid w:val="0022100F"/>
    <w:rsid w:val="002220E1"/>
    <w:rsid w:val="002234AB"/>
    <w:rsid w:val="002234C5"/>
    <w:rsid w:val="0022602E"/>
    <w:rsid w:val="002265C6"/>
    <w:rsid w:val="00230A0F"/>
    <w:rsid w:val="00230E26"/>
    <w:rsid w:val="00231ABD"/>
    <w:rsid w:val="00231F9A"/>
    <w:rsid w:val="002337D9"/>
    <w:rsid w:val="00234541"/>
    <w:rsid w:val="00236A46"/>
    <w:rsid w:val="00240F48"/>
    <w:rsid w:val="002461E9"/>
    <w:rsid w:val="00246C7A"/>
    <w:rsid w:val="0025403B"/>
    <w:rsid w:val="00261AE3"/>
    <w:rsid w:val="0026627D"/>
    <w:rsid w:val="002716D7"/>
    <w:rsid w:val="00274E67"/>
    <w:rsid w:val="002760A7"/>
    <w:rsid w:val="00282CA6"/>
    <w:rsid w:val="002A0A56"/>
    <w:rsid w:val="002B231D"/>
    <w:rsid w:val="002B3F66"/>
    <w:rsid w:val="002B6F2C"/>
    <w:rsid w:val="002C0071"/>
    <w:rsid w:val="002C06AD"/>
    <w:rsid w:val="002C438B"/>
    <w:rsid w:val="002D2F4E"/>
    <w:rsid w:val="002D6750"/>
    <w:rsid w:val="002E2262"/>
    <w:rsid w:val="002E3AFA"/>
    <w:rsid w:val="002F192D"/>
    <w:rsid w:val="002F2C28"/>
    <w:rsid w:val="002F53E2"/>
    <w:rsid w:val="00301AA5"/>
    <w:rsid w:val="00301ED7"/>
    <w:rsid w:val="00303100"/>
    <w:rsid w:val="00305B06"/>
    <w:rsid w:val="00311E7E"/>
    <w:rsid w:val="00316E62"/>
    <w:rsid w:val="00317AF2"/>
    <w:rsid w:val="003221C5"/>
    <w:rsid w:val="0032249B"/>
    <w:rsid w:val="003233B9"/>
    <w:rsid w:val="00330F44"/>
    <w:rsid w:val="00331536"/>
    <w:rsid w:val="00332EBF"/>
    <w:rsid w:val="00343287"/>
    <w:rsid w:val="00343CDD"/>
    <w:rsid w:val="00351A0A"/>
    <w:rsid w:val="00352E4B"/>
    <w:rsid w:val="003557F3"/>
    <w:rsid w:val="0035656E"/>
    <w:rsid w:val="00357FE0"/>
    <w:rsid w:val="003620E8"/>
    <w:rsid w:val="003660E8"/>
    <w:rsid w:val="00373143"/>
    <w:rsid w:val="00382709"/>
    <w:rsid w:val="003850BF"/>
    <w:rsid w:val="003850F4"/>
    <w:rsid w:val="0038560B"/>
    <w:rsid w:val="00385B3D"/>
    <w:rsid w:val="00392844"/>
    <w:rsid w:val="0039319D"/>
    <w:rsid w:val="003A1169"/>
    <w:rsid w:val="003A4271"/>
    <w:rsid w:val="003A5471"/>
    <w:rsid w:val="003A56F3"/>
    <w:rsid w:val="003A572F"/>
    <w:rsid w:val="003A7531"/>
    <w:rsid w:val="003B1063"/>
    <w:rsid w:val="003B4F5F"/>
    <w:rsid w:val="003B6205"/>
    <w:rsid w:val="003B75FF"/>
    <w:rsid w:val="003C0297"/>
    <w:rsid w:val="003C0BBE"/>
    <w:rsid w:val="003C333F"/>
    <w:rsid w:val="003C3AB3"/>
    <w:rsid w:val="003C7D29"/>
    <w:rsid w:val="003D2214"/>
    <w:rsid w:val="003D48A6"/>
    <w:rsid w:val="003E2142"/>
    <w:rsid w:val="003E755C"/>
    <w:rsid w:val="003E7E33"/>
    <w:rsid w:val="003F1089"/>
    <w:rsid w:val="003F1C78"/>
    <w:rsid w:val="003F23D7"/>
    <w:rsid w:val="003F4411"/>
    <w:rsid w:val="003F7B3E"/>
    <w:rsid w:val="003F7E49"/>
    <w:rsid w:val="0040159C"/>
    <w:rsid w:val="004033D3"/>
    <w:rsid w:val="00407094"/>
    <w:rsid w:val="004121F8"/>
    <w:rsid w:val="0041290E"/>
    <w:rsid w:val="004131A3"/>
    <w:rsid w:val="00413242"/>
    <w:rsid w:val="00413F89"/>
    <w:rsid w:val="004147F2"/>
    <w:rsid w:val="004206A0"/>
    <w:rsid w:val="0042300C"/>
    <w:rsid w:val="004230E0"/>
    <w:rsid w:val="004258D5"/>
    <w:rsid w:val="0042640E"/>
    <w:rsid w:val="00432EBA"/>
    <w:rsid w:val="00434854"/>
    <w:rsid w:val="004432F1"/>
    <w:rsid w:val="00446C64"/>
    <w:rsid w:val="00450E28"/>
    <w:rsid w:val="004512FC"/>
    <w:rsid w:val="00451ED2"/>
    <w:rsid w:val="0045458B"/>
    <w:rsid w:val="00455B88"/>
    <w:rsid w:val="00455FA5"/>
    <w:rsid w:val="00455FC9"/>
    <w:rsid w:val="00457363"/>
    <w:rsid w:val="00457A9E"/>
    <w:rsid w:val="00467123"/>
    <w:rsid w:val="00480157"/>
    <w:rsid w:val="00481A8D"/>
    <w:rsid w:val="0048289A"/>
    <w:rsid w:val="00484BE4"/>
    <w:rsid w:val="0048542B"/>
    <w:rsid w:val="0048783F"/>
    <w:rsid w:val="00487DEC"/>
    <w:rsid w:val="00492364"/>
    <w:rsid w:val="0049242D"/>
    <w:rsid w:val="00495336"/>
    <w:rsid w:val="004A1C20"/>
    <w:rsid w:val="004A1FA5"/>
    <w:rsid w:val="004A3C37"/>
    <w:rsid w:val="004A4E7D"/>
    <w:rsid w:val="004A5BD8"/>
    <w:rsid w:val="004B061E"/>
    <w:rsid w:val="004B07D4"/>
    <w:rsid w:val="004B3A5F"/>
    <w:rsid w:val="004B48FC"/>
    <w:rsid w:val="004B4DB4"/>
    <w:rsid w:val="004C7DA0"/>
    <w:rsid w:val="004D019B"/>
    <w:rsid w:val="004D1E54"/>
    <w:rsid w:val="004D3DDF"/>
    <w:rsid w:val="004D5357"/>
    <w:rsid w:val="004E4586"/>
    <w:rsid w:val="004E4AAB"/>
    <w:rsid w:val="004E4DF3"/>
    <w:rsid w:val="004F0373"/>
    <w:rsid w:val="004F5760"/>
    <w:rsid w:val="004F6D88"/>
    <w:rsid w:val="004F6F15"/>
    <w:rsid w:val="0050595B"/>
    <w:rsid w:val="00505DEE"/>
    <w:rsid w:val="00507FEF"/>
    <w:rsid w:val="005104A1"/>
    <w:rsid w:val="00511515"/>
    <w:rsid w:val="00511CA7"/>
    <w:rsid w:val="00513615"/>
    <w:rsid w:val="00514947"/>
    <w:rsid w:val="005228F4"/>
    <w:rsid w:val="00523F1D"/>
    <w:rsid w:val="0052405F"/>
    <w:rsid w:val="00535D2F"/>
    <w:rsid w:val="00536122"/>
    <w:rsid w:val="00536ABD"/>
    <w:rsid w:val="0053747D"/>
    <w:rsid w:val="00537E17"/>
    <w:rsid w:val="005402AF"/>
    <w:rsid w:val="00550941"/>
    <w:rsid w:val="005519DF"/>
    <w:rsid w:val="00551C12"/>
    <w:rsid w:val="00562087"/>
    <w:rsid w:val="00571F3B"/>
    <w:rsid w:val="0057472E"/>
    <w:rsid w:val="00576511"/>
    <w:rsid w:val="00577A11"/>
    <w:rsid w:val="00577BAE"/>
    <w:rsid w:val="0058275E"/>
    <w:rsid w:val="0058556F"/>
    <w:rsid w:val="00592CAD"/>
    <w:rsid w:val="00594654"/>
    <w:rsid w:val="00595F22"/>
    <w:rsid w:val="005A19F6"/>
    <w:rsid w:val="005A1EA8"/>
    <w:rsid w:val="005A65BD"/>
    <w:rsid w:val="005C27FA"/>
    <w:rsid w:val="005D49DB"/>
    <w:rsid w:val="005D566D"/>
    <w:rsid w:val="005D627C"/>
    <w:rsid w:val="005E46C5"/>
    <w:rsid w:val="005E5BC8"/>
    <w:rsid w:val="005E635D"/>
    <w:rsid w:val="005F5EEF"/>
    <w:rsid w:val="005F6531"/>
    <w:rsid w:val="005F7DAA"/>
    <w:rsid w:val="00601013"/>
    <w:rsid w:val="00603387"/>
    <w:rsid w:val="00605B04"/>
    <w:rsid w:val="0061004D"/>
    <w:rsid w:val="006114E3"/>
    <w:rsid w:val="006228C1"/>
    <w:rsid w:val="00623CBF"/>
    <w:rsid w:val="00625798"/>
    <w:rsid w:val="00627162"/>
    <w:rsid w:val="0064735D"/>
    <w:rsid w:val="00647579"/>
    <w:rsid w:val="0065174F"/>
    <w:rsid w:val="006538FE"/>
    <w:rsid w:val="00653D1C"/>
    <w:rsid w:val="00662CC1"/>
    <w:rsid w:val="0066588B"/>
    <w:rsid w:val="00666587"/>
    <w:rsid w:val="006669B0"/>
    <w:rsid w:val="00687B8B"/>
    <w:rsid w:val="00690C17"/>
    <w:rsid w:val="00691A0D"/>
    <w:rsid w:val="00692161"/>
    <w:rsid w:val="006926B8"/>
    <w:rsid w:val="00692E4B"/>
    <w:rsid w:val="00693AE0"/>
    <w:rsid w:val="006A0CC5"/>
    <w:rsid w:val="006A29F4"/>
    <w:rsid w:val="006A2AE4"/>
    <w:rsid w:val="006A2F64"/>
    <w:rsid w:val="006A6C4F"/>
    <w:rsid w:val="006B2C27"/>
    <w:rsid w:val="006B31A5"/>
    <w:rsid w:val="006B4944"/>
    <w:rsid w:val="006B5FE4"/>
    <w:rsid w:val="006B7236"/>
    <w:rsid w:val="006C47B0"/>
    <w:rsid w:val="006C51C8"/>
    <w:rsid w:val="006C5AA2"/>
    <w:rsid w:val="006D09C0"/>
    <w:rsid w:val="006D0CE9"/>
    <w:rsid w:val="006D464C"/>
    <w:rsid w:val="006D5E09"/>
    <w:rsid w:val="006D68EE"/>
    <w:rsid w:val="006E52CC"/>
    <w:rsid w:val="006E5E9D"/>
    <w:rsid w:val="006F063D"/>
    <w:rsid w:val="006F34F2"/>
    <w:rsid w:val="006F3E0D"/>
    <w:rsid w:val="006F3FBE"/>
    <w:rsid w:val="00701BB6"/>
    <w:rsid w:val="00705360"/>
    <w:rsid w:val="00706CA2"/>
    <w:rsid w:val="007114AE"/>
    <w:rsid w:val="007134A3"/>
    <w:rsid w:val="00714D68"/>
    <w:rsid w:val="007153F5"/>
    <w:rsid w:val="00715FAF"/>
    <w:rsid w:val="00717633"/>
    <w:rsid w:val="00717AA0"/>
    <w:rsid w:val="00724026"/>
    <w:rsid w:val="007261E0"/>
    <w:rsid w:val="00730F21"/>
    <w:rsid w:val="00735CC6"/>
    <w:rsid w:val="00742F3B"/>
    <w:rsid w:val="00745A1C"/>
    <w:rsid w:val="007462EB"/>
    <w:rsid w:val="007505D1"/>
    <w:rsid w:val="007548D9"/>
    <w:rsid w:val="00756FB5"/>
    <w:rsid w:val="00757C15"/>
    <w:rsid w:val="00766461"/>
    <w:rsid w:val="0077216D"/>
    <w:rsid w:val="00772F34"/>
    <w:rsid w:val="007742E1"/>
    <w:rsid w:val="00774C61"/>
    <w:rsid w:val="0078172F"/>
    <w:rsid w:val="00785B9C"/>
    <w:rsid w:val="00786DAF"/>
    <w:rsid w:val="007925A9"/>
    <w:rsid w:val="007928AB"/>
    <w:rsid w:val="00792F15"/>
    <w:rsid w:val="007935E9"/>
    <w:rsid w:val="00796129"/>
    <w:rsid w:val="007961BC"/>
    <w:rsid w:val="007A192F"/>
    <w:rsid w:val="007A3B2C"/>
    <w:rsid w:val="007A4AFD"/>
    <w:rsid w:val="007B1A0B"/>
    <w:rsid w:val="007B2A62"/>
    <w:rsid w:val="007C2915"/>
    <w:rsid w:val="007C4407"/>
    <w:rsid w:val="007C4F69"/>
    <w:rsid w:val="007D157E"/>
    <w:rsid w:val="007D3ADE"/>
    <w:rsid w:val="007D48C8"/>
    <w:rsid w:val="007D6E04"/>
    <w:rsid w:val="007E6F58"/>
    <w:rsid w:val="007F4A7A"/>
    <w:rsid w:val="007F73ED"/>
    <w:rsid w:val="008003FB"/>
    <w:rsid w:val="0080050D"/>
    <w:rsid w:val="00800612"/>
    <w:rsid w:val="00803068"/>
    <w:rsid w:val="0080430F"/>
    <w:rsid w:val="00804819"/>
    <w:rsid w:val="0080622A"/>
    <w:rsid w:val="00817865"/>
    <w:rsid w:val="008311C5"/>
    <w:rsid w:val="0083270F"/>
    <w:rsid w:val="00834135"/>
    <w:rsid w:val="00841E56"/>
    <w:rsid w:val="00843DAC"/>
    <w:rsid w:val="00851F3E"/>
    <w:rsid w:val="008539CD"/>
    <w:rsid w:val="00854203"/>
    <w:rsid w:val="00854610"/>
    <w:rsid w:val="00855D6C"/>
    <w:rsid w:val="00857AD8"/>
    <w:rsid w:val="00857C9C"/>
    <w:rsid w:val="00857F49"/>
    <w:rsid w:val="00867305"/>
    <w:rsid w:val="00870C58"/>
    <w:rsid w:val="00871270"/>
    <w:rsid w:val="00872947"/>
    <w:rsid w:val="00875207"/>
    <w:rsid w:val="0088345A"/>
    <w:rsid w:val="00885A5B"/>
    <w:rsid w:val="008904B0"/>
    <w:rsid w:val="00891088"/>
    <w:rsid w:val="00891108"/>
    <w:rsid w:val="00893212"/>
    <w:rsid w:val="008936AB"/>
    <w:rsid w:val="008942FE"/>
    <w:rsid w:val="00895282"/>
    <w:rsid w:val="00897C0D"/>
    <w:rsid w:val="008A269F"/>
    <w:rsid w:val="008A4635"/>
    <w:rsid w:val="008A5A6F"/>
    <w:rsid w:val="008A6AA6"/>
    <w:rsid w:val="008B436C"/>
    <w:rsid w:val="008B6310"/>
    <w:rsid w:val="008C23E8"/>
    <w:rsid w:val="008C3EAD"/>
    <w:rsid w:val="008C780C"/>
    <w:rsid w:val="008C7D62"/>
    <w:rsid w:val="008C7EF2"/>
    <w:rsid w:val="008D05DD"/>
    <w:rsid w:val="008D6753"/>
    <w:rsid w:val="008D7C36"/>
    <w:rsid w:val="008E71C7"/>
    <w:rsid w:val="008F1272"/>
    <w:rsid w:val="008F6F19"/>
    <w:rsid w:val="008F759D"/>
    <w:rsid w:val="009010DA"/>
    <w:rsid w:val="0090127B"/>
    <w:rsid w:val="00904EDC"/>
    <w:rsid w:val="009063CF"/>
    <w:rsid w:val="00910E89"/>
    <w:rsid w:val="0091594E"/>
    <w:rsid w:val="00916733"/>
    <w:rsid w:val="00923692"/>
    <w:rsid w:val="00926CA4"/>
    <w:rsid w:val="00926F3D"/>
    <w:rsid w:val="00927ECA"/>
    <w:rsid w:val="00931259"/>
    <w:rsid w:val="00931DF4"/>
    <w:rsid w:val="00932E76"/>
    <w:rsid w:val="009333E5"/>
    <w:rsid w:val="0094255F"/>
    <w:rsid w:val="009427DC"/>
    <w:rsid w:val="0094304A"/>
    <w:rsid w:val="00951545"/>
    <w:rsid w:val="00955473"/>
    <w:rsid w:val="00960657"/>
    <w:rsid w:val="00964751"/>
    <w:rsid w:val="009711AF"/>
    <w:rsid w:val="009763EE"/>
    <w:rsid w:val="009800A6"/>
    <w:rsid w:val="009847C7"/>
    <w:rsid w:val="00984F94"/>
    <w:rsid w:val="009868F7"/>
    <w:rsid w:val="009873B5"/>
    <w:rsid w:val="00987D3E"/>
    <w:rsid w:val="00990123"/>
    <w:rsid w:val="009958AD"/>
    <w:rsid w:val="009A0775"/>
    <w:rsid w:val="009A0CF4"/>
    <w:rsid w:val="009A239E"/>
    <w:rsid w:val="009A34EF"/>
    <w:rsid w:val="009B45BC"/>
    <w:rsid w:val="009B5613"/>
    <w:rsid w:val="009C435E"/>
    <w:rsid w:val="009C4EDE"/>
    <w:rsid w:val="009C5146"/>
    <w:rsid w:val="009D4848"/>
    <w:rsid w:val="009D51DE"/>
    <w:rsid w:val="009E08BB"/>
    <w:rsid w:val="009E1AD7"/>
    <w:rsid w:val="009E4959"/>
    <w:rsid w:val="009F2313"/>
    <w:rsid w:val="009F2546"/>
    <w:rsid w:val="009F49B6"/>
    <w:rsid w:val="009F4A39"/>
    <w:rsid w:val="00A00230"/>
    <w:rsid w:val="00A019DC"/>
    <w:rsid w:val="00A02234"/>
    <w:rsid w:val="00A02933"/>
    <w:rsid w:val="00A037BA"/>
    <w:rsid w:val="00A03C2F"/>
    <w:rsid w:val="00A075DB"/>
    <w:rsid w:val="00A11AE3"/>
    <w:rsid w:val="00A130DF"/>
    <w:rsid w:val="00A143C0"/>
    <w:rsid w:val="00A14B51"/>
    <w:rsid w:val="00A15E6D"/>
    <w:rsid w:val="00A17B65"/>
    <w:rsid w:val="00A24FA4"/>
    <w:rsid w:val="00A266F2"/>
    <w:rsid w:val="00A36D6E"/>
    <w:rsid w:val="00A371F7"/>
    <w:rsid w:val="00A40A70"/>
    <w:rsid w:val="00A425A9"/>
    <w:rsid w:val="00A47E3C"/>
    <w:rsid w:val="00A52CE5"/>
    <w:rsid w:val="00A56432"/>
    <w:rsid w:val="00A57A73"/>
    <w:rsid w:val="00A743C5"/>
    <w:rsid w:val="00A80005"/>
    <w:rsid w:val="00A8188E"/>
    <w:rsid w:val="00A839F1"/>
    <w:rsid w:val="00A8481F"/>
    <w:rsid w:val="00A86599"/>
    <w:rsid w:val="00A973F9"/>
    <w:rsid w:val="00A97B7D"/>
    <w:rsid w:val="00A97B87"/>
    <w:rsid w:val="00AA0D90"/>
    <w:rsid w:val="00AA12E1"/>
    <w:rsid w:val="00AA2884"/>
    <w:rsid w:val="00AA512E"/>
    <w:rsid w:val="00AA6241"/>
    <w:rsid w:val="00AB0256"/>
    <w:rsid w:val="00AB0928"/>
    <w:rsid w:val="00AB1C3D"/>
    <w:rsid w:val="00AB49BE"/>
    <w:rsid w:val="00AB5F6C"/>
    <w:rsid w:val="00AC19E8"/>
    <w:rsid w:val="00AC3105"/>
    <w:rsid w:val="00AC4832"/>
    <w:rsid w:val="00AC5024"/>
    <w:rsid w:val="00AD1FC9"/>
    <w:rsid w:val="00AD36EE"/>
    <w:rsid w:val="00AD46E8"/>
    <w:rsid w:val="00AD57C4"/>
    <w:rsid w:val="00AD59B3"/>
    <w:rsid w:val="00AD6191"/>
    <w:rsid w:val="00AE2F42"/>
    <w:rsid w:val="00AE5B45"/>
    <w:rsid w:val="00AE5E6A"/>
    <w:rsid w:val="00AF04AC"/>
    <w:rsid w:val="00AF5509"/>
    <w:rsid w:val="00AF5B16"/>
    <w:rsid w:val="00B0059E"/>
    <w:rsid w:val="00B0070D"/>
    <w:rsid w:val="00B041B6"/>
    <w:rsid w:val="00B06417"/>
    <w:rsid w:val="00B115A2"/>
    <w:rsid w:val="00B11D1A"/>
    <w:rsid w:val="00B14844"/>
    <w:rsid w:val="00B14B64"/>
    <w:rsid w:val="00B16079"/>
    <w:rsid w:val="00B177AA"/>
    <w:rsid w:val="00B21A66"/>
    <w:rsid w:val="00B23F54"/>
    <w:rsid w:val="00B243DA"/>
    <w:rsid w:val="00B2722B"/>
    <w:rsid w:val="00B30EA2"/>
    <w:rsid w:val="00B37826"/>
    <w:rsid w:val="00B43067"/>
    <w:rsid w:val="00B55452"/>
    <w:rsid w:val="00B5658F"/>
    <w:rsid w:val="00B609C8"/>
    <w:rsid w:val="00B63075"/>
    <w:rsid w:val="00B64345"/>
    <w:rsid w:val="00B6449A"/>
    <w:rsid w:val="00B66D90"/>
    <w:rsid w:val="00B72744"/>
    <w:rsid w:val="00B74F68"/>
    <w:rsid w:val="00B75690"/>
    <w:rsid w:val="00B76A87"/>
    <w:rsid w:val="00B8644C"/>
    <w:rsid w:val="00B87E00"/>
    <w:rsid w:val="00B948E7"/>
    <w:rsid w:val="00B95D14"/>
    <w:rsid w:val="00BA5CA4"/>
    <w:rsid w:val="00BA6393"/>
    <w:rsid w:val="00BA7DF3"/>
    <w:rsid w:val="00BB0964"/>
    <w:rsid w:val="00BB2653"/>
    <w:rsid w:val="00BB5D66"/>
    <w:rsid w:val="00BC2D96"/>
    <w:rsid w:val="00BC4F43"/>
    <w:rsid w:val="00BC5DBB"/>
    <w:rsid w:val="00BD2F1C"/>
    <w:rsid w:val="00BD554E"/>
    <w:rsid w:val="00BD71A0"/>
    <w:rsid w:val="00BE09F1"/>
    <w:rsid w:val="00BE1641"/>
    <w:rsid w:val="00BE24D0"/>
    <w:rsid w:val="00BE4D0A"/>
    <w:rsid w:val="00BE6229"/>
    <w:rsid w:val="00BF0EF2"/>
    <w:rsid w:val="00BF20F1"/>
    <w:rsid w:val="00BF4CB6"/>
    <w:rsid w:val="00BF5BCA"/>
    <w:rsid w:val="00BF6F51"/>
    <w:rsid w:val="00BF7474"/>
    <w:rsid w:val="00C014AC"/>
    <w:rsid w:val="00C05E19"/>
    <w:rsid w:val="00C06656"/>
    <w:rsid w:val="00C06E84"/>
    <w:rsid w:val="00C11694"/>
    <w:rsid w:val="00C14E33"/>
    <w:rsid w:val="00C15945"/>
    <w:rsid w:val="00C15A4B"/>
    <w:rsid w:val="00C17C44"/>
    <w:rsid w:val="00C20FEA"/>
    <w:rsid w:val="00C22F57"/>
    <w:rsid w:val="00C23EAA"/>
    <w:rsid w:val="00C2544D"/>
    <w:rsid w:val="00C2653E"/>
    <w:rsid w:val="00C26589"/>
    <w:rsid w:val="00C3769F"/>
    <w:rsid w:val="00C410CA"/>
    <w:rsid w:val="00C468D9"/>
    <w:rsid w:val="00C473CB"/>
    <w:rsid w:val="00C476D8"/>
    <w:rsid w:val="00C503C8"/>
    <w:rsid w:val="00C55793"/>
    <w:rsid w:val="00C55D79"/>
    <w:rsid w:val="00C603C4"/>
    <w:rsid w:val="00C6139D"/>
    <w:rsid w:val="00C660A4"/>
    <w:rsid w:val="00C6733D"/>
    <w:rsid w:val="00C77E3B"/>
    <w:rsid w:val="00C81662"/>
    <w:rsid w:val="00CA12AF"/>
    <w:rsid w:val="00CA271A"/>
    <w:rsid w:val="00CA585D"/>
    <w:rsid w:val="00CB0A1B"/>
    <w:rsid w:val="00CB27CB"/>
    <w:rsid w:val="00CB6A31"/>
    <w:rsid w:val="00CC1C14"/>
    <w:rsid w:val="00CC20E6"/>
    <w:rsid w:val="00CC4037"/>
    <w:rsid w:val="00CC48D6"/>
    <w:rsid w:val="00CD0B48"/>
    <w:rsid w:val="00CD2A39"/>
    <w:rsid w:val="00CE01AC"/>
    <w:rsid w:val="00CE02BD"/>
    <w:rsid w:val="00CE21F4"/>
    <w:rsid w:val="00CF0027"/>
    <w:rsid w:val="00CF438C"/>
    <w:rsid w:val="00CF637B"/>
    <w:rsid w:val="00CF640B"/>
    <w:rsid w:val="00D00BFA"/>
    <w:rsid w:val="00D0118D"/>
    <w:rsid w:val="00D01565"/>
    <w:rsid w:val="00D06646"/>
    <w:rsid w:val="00D073A8"/>
    <w:rsid w:val="00D10125"/>
    <w:rsid w:val="00D10829"/>
    <w:rsid w:val="00D14C76"/>
    <w:rsid w:val="00D1527F"/>
    <w:rsid w:val="00D15B31"/>
    <w:rsid w:val="00D1624A"/>
    <w:rsid w:val="00D246D5"/>
    <w:rsid w:val="00D27B02"/>
    <w:rsid w:val="00D31FF1"/>
    <w:rsid w:val="00D326CB"/>
    <w:rsid w:val="00D4233C"/>
    <w:rsid w:val="00D453FD"/>
    <w:rsid w:val="00D50491"/>
    <w:rsid w:val="00D536FB"/>
    <w:rsid w:val="00D56D8B"/>
    <w:rsid w:val="00D56E84"/>
    <w:rsid w:val="00D579F3"/>
    <w:rsid w:val="00D62802"/>
    <w:rsid w:val="00D62DD3"/>
    <w:rsid w:val="00D62FFD"/>
    <w:rsid w:val="00D64D9F"/>
    <w:rsid w:val="00D70030"/>
    <w:rsid w:val="00D73DAA"/>
    <w:rsid w:val="00D800DC"/>
    <w:rsid w:val="00D82991"/>
    <w:rsid w:val="00D85104"/>
    <w:rsid w:val="00D856B7"/>
    <w:rsid w:val="00D92E43"/>
    <w:rsid w:val="00D93A41"/>
    <w:rsid w:val="00D944C7"/>
    <w:rsid w:val="00D94D1F"/>
    <w:rsid w:val="00D94EF6"/>
    <w:rsid w:val="00D97D9A"/>
    <w:rsid w:val="00DA2E51"/>
    <w:rsid w:val="00DB00FA"/>
    <w:rsid w:val="00DB1E42"/>
    <w:rsid w:val="00DB2B02"/>
    <w:rsid w:val="00DB2F6F"/>
    <w:rsid w:val="00DB6B0F"/>
    <w:rsid w:val="00DC3927"/>
    <w:rsid w:val="00DC4993"/>
    <w:rsid w:val="00DC73F9"/>
    <w:rsid w:val="00DC7665"/>
    <w:rsid w:val="00DD2192"/>
    <w:rsid w:val="00DD5570"/>
    <w:rsid w:val="00DD5961"/>
    <w:rsid w:val="00DD5AD6"/>
    <w:rsid w:val="00DD645B"/>
    <w:rsid w:val="00DD7B8C"/>
    <w:rsid w:val="00DD7CFF"/>
    <w:rsid w:val="00DE2EDF"/>
    <w:rsid w:val="00DE7460"/>
    <w:rsid w:val="00E01AF5"/>
    <w:rsid w:val="00E0600E"/>
    <w:rsid w:val="00E17F4A"/>
    <w:rsid w:val="00E22EC7"/>
    <w:rsid w:val="00E22EDE"/>
    <w:rsid w:val="00E35B3C"/>
    <w:rsid w:val="00E41A30"/>
    <w:rsid w:val="00E431D8"/>
    <w:rsid w:val="00E471E0"/>
    <w:rsid w:val="00E50596"/>
    <w:rsid w:val="00E51233"/>
    <w:rsid w:val="00E51F3A"/>
    <w:rsid w:val="00E52640"/>
    <w:rsid w:val="00E6591A"/>
    <w:rsid w:val="00E65EDF"/>
    <w:rsid w:val="00E67756"/>
    <w:rsid w:val="00E6787A"/>
    <w:rsid w:val="00E70C74"/>
    <w:rsid w:val="00E77970"/>
    <w:rsid w:val="00E80A55"/>
    <w:rsid w:val="00E82166"/>
    <w:rsid w:val="00E82EE4"/>
    <w:rsid w:val="00E8579B"/>
    <w:rsid w:val="00E85F24"/>
    <w:rsid w:val="00E90CF9"/>
    <w:rsid w:val="00EA15E7"/>
    <w:rsid w:val="00EA3BDD"/>
    <w:rsid w:val="00EA5989"/>
    <w:rsid w:val="00EA7257"/>
    <w:rsid w:val="00EB3ACE"/>
    <w:rsid w:val="00EB6E2A"/>
    <w:rsid w:val="00EC1F15"/>
    <w:rsid w:val="00EC41CD"/>
    <w:rsid w:val="00EC4BDF"/>
    <w:rsid w:val="00EC7302"/>
    <w:rsid w:val="00ED14D4"/>
    <w:rsid w:val="00ED1CE6"/>
    <w:rsid w:val="00ED52A0"/>
    <w:rsid w:val="00EE2DFD"/>
    <w:rsid w:val="00EE5B30"/>
    <w:rsid w:val="00EE5B52"/>
    <w:rsid w:val="00EE602B"/>
    <w:rsid w:val="00EE6AC3"/>
    <w:rsid w:val="00EE7134"/>
    <w:rsid w:val="00EF1240"/>
    <w:rsid w:val="00EF1F49"/>
    <w:rsid w:val="00EF606B"/>
    <w:rsid w:val="00F00341"/>
    <w:rsid w:val="00F036C6"/>
    <w:rsid w:val="00F07F9A"/>
    <w:rsid w:val="00F10A20"/>
    <w:rsid w:val="00F10F5D"/>
    <w:rsid w:val="00F11207"/>
    <w:rsid w:val="00F14189"/>
    <w:rsid w:val="00F21EB6"/>
    <w:rsid w:val="00F222E1"/>
    <w:rsid w:val="00F24970"/>
    <w:rsid w:val="00F31360"/>
    <w:rsid w:val="00F31F2B"/>
    <w:rsid w:val="00F34430"/>
    <w:rsid w:val="00F34631"/>
    <w:rsid w:val="00F37CDB"/>
    <w:rsid w:val="00F4025C"/>
    <w:rsid w:val="00F41B7F"/>
    <w:rsid w:val="00F430F7"/>
    <w:rsid w:val="00F448B6"/>
    <w:rsid w:val="00F46617"/>
    <w:rsid w:val="00F4680B"/>
    <w:rsid w:val="00F46C12"/>
    <w:rsid w:val="00F5117B"/>
    <w:rsid w:val="00F64877"/>
    <w:rsid w:val="00F665E2"/>
    <w:rsid w:val="00F753A8"/>
    <w:rsid w:val="00F754A5"/>
    <w:rsid w:val="00F75E21"/>
    <w:rsid w:val="00F77BAE"/>
    <w:rsid w:val="00F82F81"/>
    <w:rsid w:val="00F843A3"/>
    <w:rsid w:val="00F85082"/>
    <w:rsid w:val="00F8630F"/>
    <w:rsid w:val="00F87F28"/>
    <w:rsid w:val="00F90AC5"/>
    <w:rsid w:val="00F95551"/>
    <w:rsid w:val="00F97A33"/>
    <w:rsid w:val="00FA0C21"/>
    <w:rsid w:val="00FA1EA9"/>
    <w:rsid w:val="00FA6EEB"/>
    <w:rsid w:val="00FB4AFB"/>
    <w:rsid w:val="00FB6B45"/>
    <w:rsid w:val="00FB758D"/>
    <w:rsid w:val="00FC4F2C"/>
    <w:rsid w:val="00FC5633"/>
    <w:rsid w:val="00FC5881"/>
    <w:rsid w:val="00FC6FD1"/>
    <w:rsid w:val="00FD5F47"/>
    <w:rsid w:val="00FD7BB0"/>
    <w:rsid w:val="00FE027D"/>
    <w:rsid w:val="00FE2493"/>
    <w:rsid w:val="00FE2957"/>
    <w:rsid w:val="00FE36B4"/>
    <w:rsid w:val="00FE37BF"/>
    <w:rsid w:val="00FE39BF"/>
    <w:rsid w:val="00FE4CE5"/>
    <w:rsid w:val="00FE6CFE"/>
    <w:rsid w:val="00FF5A0A"/>
    <w:rsid w:val="00FF5F5B"/>
    <w:rsid w:val="00FF73A1"/>
    <w:rsid w:val="010B2E61"/>
    <w:rsid w:val="07ED37ED"/>
    <w:rsid w:val="08A234FA"/>
    <w:rsid w:val="095E5CAE"/>
    <w:rsid w:val="0D6953CC"/>
    <w:rsid w:val="14462F92"/>
    <w:rsid w:val="18824B5C"/>
    <w:rsid w:val="2B177A77"/>
    <w:rsid w:val="2ED865A9"/>
    <w:rsid w:val="38114D8C"/>
    <w:rsid w:val="388F54A1"/>
    <w:rsid w:val="3F8C47B3"/>
    <w:rsid w:val="48513E67"/>
    <w:rsid w:val="4B8F611F"/>
    <w:rsid w:val="52913779"/>
    <w:rsid w:val="552D337D"/>
    <w:rsid w:val="61CE2E75"/>
    <w:rsid w:val="69C82F9B"/>
    <w:rsid w:val="6C8569F3"/>
    <w:rsid w:val="76A51D32"/>
    <w:rsid w:val="7B0F1874"/>
    <w:rsid w:val="7B8F2AF4"/>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4"/>
    <w:unhideWhenUsed/>
    <w:qFormat/>
    <w:uiPriority w:val="9"/>
    <w:pPr>
      <w:outlineLvl w:val="1"/>
    </w:pPr>
    <w:rPr>
      <w:rFonts w:ascii="FangSong" w:hAnsi="FangSong" w:eastAsia="FangSong"/>
      <w:b/>
      <w:sz w:val="32"/>
      <w:szCs w:val="32"/>
    </w:rPr>
  </w:style>
  <w:style w:type="paragraph" w:styleId="4">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pPr>
      <w:adjustRightInd/>
      <w:spacing w:before="152" w:after="160" w:line="240" w:lineRule="auto"/>
    </w:pPr>
    <w:rPr>
      <w:rFonts w:ascii="Arial" w:hAnsi="Arial" w:eastAsia="SimHei" w:cs="Arial"/>
      <w:sz w:val="20"/>
    </w:rPr>
  </w:style>
  <w:style w:type="paragraph" w:styleId="7">
    <w:name w:val="annotation text"/>
    <w:basedOn w:val="1"/>
    <w:link w:val="27"/>
    <w:semiHidden/>
    <w:unhideWhenUsed/>
    <w:qFormat/>
    <w:uiPriority w:val="99"/>
    <w:pPr>
      <w:jc w:val="left"/>
    </w:pPr>
  </w:style>
  <w:style w:type="paragraph" w:styleId="8">
    <w:name w:val="Body Text"/>
    <w:basedOn w:val="1"/>
    <w:semiHidden/>
    <w:qFormat/>
    <w:uiPriority w:val="0"/>
    <w:pPr>
      <w:spacing w:after="120"/>
    </w:pPr>
  </w:style>
  <w:style w:type="paragraph" w:styleId="9">
    <w:name w:val="Date"/>
    <w:basedOn w:val="1"/>
    <w:next w:val="1"/>
    <w:link w:val="26"/>
    <w:semiHidden/>
    <w:unhideWhenUsed/>
    <w:qFormat/>
    <w:uiPriority w:val="99"/>
    <w:pPr>
      <w:ind w:left="100" w:leftChars="2500"/>
    </w:pPr>
  </w:style>
  <w:style w:type="paragraph" w:styleId="10">
    <w:name w:val="Balloon Text"/>
    <w:basedOn w:val="1"/>
    <w:link w:val="24"/>
    <w:semiHidden/>
    <w:unhideWhenUsed/>
    <w:qFormat/>
    <w:uiPriority w:val="99"/>
    <w:rPr>
      <w:sz w:val="18"/>
      <w:szCs w:val="18"/>
    </w:rPr>
  </w:style>
  <w:style w:type="paragraph" w:styleId="11">
    <w:name w:val="footer"/>
    <w:basedOn w:val="1"/>
    <w:link w:val="23"/>
    <w:unhideWhenUsed/>
    <w:qFormat/>
    <w:uiPriority w:val="99"/>
    <w:pPr>
      <w:tabs>
        <w:tab w:val="center" w:pos="4153"/>
        <w:tab w:val="right" w:pos="8306"/>
      </w:tabs>
      <w:snapToGrid w:val="0"/>
      <w:jc w:val="left"/>
    </w:pPr>
    <w:rPr>
      <w:sz w:val="18"/>
      <w:szCs w:val="18"/>
    </w:rPr>
  </w:style>
  <w:style w:type="paragraph" w:styleId="12">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Subtitle"/>
    <w:basedOn w:val="1"/>
    <w:next w:val="1"/>
    <w:link w:val="35"/>
    <w:qFormat/>
    <w:uiPriority w:val="11"/>
    <w:pPr>
      <w:spacing w:before="240" w:after="60" w:line="312" w:lineRule="auto"/>
      <w:jc w:val="center"/>
      <w:outlineLvl w:val="1"/>
    </w:pPr>
    <w:rPr>
      <w:rFonts w:eastAsia="SimSun" w:asciiTheme="majorHAnsi" w:hAnsiTheme="majorHAnsi" w:cstheme="majorBidi"/>
      <w:b/>
      <w:bCs/>
      <w:kern w:val="28"/>
      <w:sz w:val="32"/>
      <w:szCs w:val="32"/>
    </w:rPr>
  </w:style>
  <w:style w:type="paragraph" w:styleId="15">
    <w:name w:val="annotation subject"/>
    <w:basedOn w:val="7"/>
    <w:next w:val="7"/>
    <w:link w:val="28"/>
    <w:semiHidden/>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basedOn w:val="18"/>
    <w:qFormat/>
    <w:uiPriority w:val="22"/>
    <w:rPr>
      <w:b/>
    </w:rPr>
  </w:style>
  <w:style w:type="character" w:styleId="20">
    <w:name w:val="page number"/>
    <w:basedOn w:val="18"/>
    <w:qFormat/>
    <w:uiPriority w:val="0"/>
  </w:style>
  <w:style w:type="character" w:styleId="21">
    <w:name w:val="annotation reference"/>
    <w:basedOn w:val="18"/>
    <w:semiHidden/>
    <w:unhideWhenUsed/>
    <w:qFormat/>
    <w:uiPriority w:val="99"/>
    <w:rPr>
      <w:sz w:val="21"/>
      <w:szCs w:val="21"/>
    </w:rPr>
  </w:style>
  <w:style w:type="character" w:customStyle="1" w:styleId="22">
    <w:name w:val="页眉 Char"/>
    <w:basedOn w:val="18"/>
    <w:link w:val="12"/>
    <w:qFormat/>
    <w:uiPriority w:val="99"/>
    <w:rPr>
      <w:sz w:val="18"/>
      <w:szCs w:val="18"/>
    </w:rPr>
  </w:style>
  <w:style w:type="character" w:customStyle="1" w:styleId="23">
    <w:name w:val="页脚 Char"/>
    <w:basedOn w:val="18"/>
    <w:link w:val="11"/>
    <w:qFormat/>
    <w:uiPriority w:val="99"/>
    <w:rPr>
      <w:sz w:val="18"/>
      <w:szCs w:val="18"/>
    </w:rPr>
  </w:style>
  <w:style w:type="character" w:customStyle="1" w:styleId="24">
    <w:name w:val="批注框文本 Char"/>
    <w:basedOn w:val="18"/>
    <w:link w:val="10"/>
    <w:semiHidden/>
    <w:qFormat/>
    <w:uiPriority w:val="99"/>
    <w:rPr>
      <w:sz w:val="18"/>
      <w:szCs w:val="18"/>
    </w:rPr>
  </w:style>
  <w:style w:type="paragraph" w:styleId="25">
    <w:name w:val="List Paragraph"/>
    <w:basedOn w:val="1"/>
    <w:qFormat/>
    <w:uiPriority w:val="34"/>
    <w:pPr>
      <w:ind w:firstLine="420" w:firstLineChars="200"/>
    </w:pPr>
  </w:style>
  <w:style w:type="character" w:customStyle="1" w:styleId="26">
    <w:name w:val="日期 Char"/>
    <w:basedOn w:val="18"/>
    <w:link w:val="9"/>
    <w:semiHidden/>
    <w:qFormat/>
    <w:uiPriority w:val="99"/>
  </w:style>
  <w:style w:type="character" w:customStyle="1" w:styleId="27">
    <w:name w:val="批注文字 Char"/>
    <w:basedOn w:val="18"/>
    <w:link w:val="7"/>
    <w:semiHidden/>
    <w:qFormat/>
    <w:uiPriority w:val="99"/>
  </w:style>
  <w:style w:type="character" w:customStyle="1" w:styleId="28">
    <w:name w:val="批注主题 Char"/>
    <w:basedOn w:val="27"/>
    <w:link w:val="15"/>
    <w:semiHidden/>
    <w:qFormat/>
    <w:uiPriority w:val="99"/>
    <w:rPr>
      <w:b/>
      <w:bCs/>
    </w:rPr>
  </w:style>
  <w:style w:type="character" w:customStyle="1" w:styleId="29">
    <w:name w:val="标题 4 Char"/>
    <w:basedOn w:val="18"/>
    <w:link w:val="5"/>
    <w:qFormat/>
    <w:uiPriority w:val="9"/>
    <w:rPr>
      <w:rFonts w:asciiTheme="majorHAnsi" w:hAnsiTheme="majorHAnsi" w:eastAsiaTheme="majorEastAsia" w:cstheme="majorBidi"/>
      <w:b/>
      <w:bCs/>
      <w:sz w:val="28"/>
      <w:szCs w:val="28"/>
    </w:rPr>
  </w:style>
  <w:style w:type="character" w:customStyle="1" w:styleId="30">
    <w:name w:val="标题 3 Char"/>
    <w:basedOn w:val="18"/>
    <w:link w:val="4"/>
    <w:qFormat/>
    <w:uiPriority w:val="9"/>
    <w:rPr>
      <w:b/>
      <w:bCs/>
      <w:sz w:val="32"/>
      <w:szCs w:val="32"/>
    </w:rPr>
  </w:style>
  <w:style w:type="character" w:customStyle="1" w:styleId="31">
    <w:name w:val="标题 1 Char"/>
    <w:basedOn w:val="18"/>
    <w:link w:val="2"/>
    <w:qFormat/>
    <w:uiPriority w:val="9"/>
    <w:rPr>
      <w:b/>
      <w:bCs/>
      <w:kern w:val="44"/>
      <w:sz w:val="44"/>
      <w:szCs w:val="44"/>
    </w:rPr>
  </w:style>
  <w:style w:type="character" w:styleId="32">
    <w:name w:val="Placeholder Text"/>
    <w:basedOn w:val="18"/>
    <w:semiHidden/>
    <w:qFormat/>
    <w:uiPriority w:val="99"/>
    <w:rPr>
      <w:color w:val="808080"/>
    </w:rPr>
  </w:style>
  <w:style w:type="paragraph" w:customStyle="1" w:styleId="33">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4">
    <w:name w:val="标题 2 Char"/>
    <w:basedOn w:val="18"/>
    <w:link w:val="3"/>
    <w:qFormat/>
    <w:uiPriority w:val="9"/>
    <w:rPr>
      <w:rFonts w:ascii="FangSong" w:hAnsi="FangSong" w:eastAsia="FangSong"/>
      <w:b/>
      <w:sz w:val="32"/>
      <w:szCs w:val="32"/>
    </w:rPr>
  </w:style>
  <w:style w:type="character" w:customStyle="1" w:styleId="35">
    <w:name w:val="副标题 Char"/>
    <w:basedOn w:val="18"/>
    <w:link w:val="14"/>
    <w:qFormat/>
    <w:uiPriority w:val="11"/>
    <w:rPr>
      <w:rFonts w:eastAsia="SimSun" w:asciiTheme="majorHAnsi" w:hAnsiTheme="majorHAnsi" w:cstheme="majorBidi"/>
      <w:b/>
      <w:bCs/>
      <w:kern w:val="28"/>
      <w:sz w:val="32"/>
      <w:szCs w:val="32"/>
    </w:rPr>
  </w:style>
  <w:style w:type="paragraph" w:customStyle="1" w:styleId="36">
    <w:name w:val="标准文件_段落"/>
    <w:basedOn w:val="1"/>
    <w:link w:val="37"/>
    <w:qFormat/>
    <w:uiPriority w:val="0"/>
    <w:pPr>
      <w:adjustRightInd w:val="0"/>
      <w:spacing w:line="240" w:lineRule="auto"/>
      <w:ind w:firstLine="480" w:firstLineChars="200"/>
      <w:jc w:val="left"/>
    </w:pPr>
    <w:rPr>
      <w:rFonts w:ascii="SimSun" w:hAnsi="SimSun" w:eastAsia="SimSun" w:cs="Times New Roman"/>
      <w:spacing w:val="2"/>
      <w:kern w:val="0"/>
      <w:sz w:val="24"/>
      <w:szCs w:val="21"/>
    </w:rPr>
  </w:style>
  <w:style w:type="character" w:customStyle="1" w:styleId="37">
    <w:name w:val="标准文件_段落 Char"/>
    <w:link w:val="36"/>
    <w:qFormat/>
    <w:uiPriority w:val="0"/>
    <w:rPr>
      <w:rFonts w:ascii="SimSun" w:hAnsi="SimSun" w:eastAsia="SimSun" w:cs="Times New Roman"/>
      <w:spacing w:val="2"/>
      <w:kern w:val="0"/>
      <w:sz w:val="24"/>
      <w:szCs w:val="21"/>
    </w:rPr>
  </w:style>
  <w:style w:type="paragraph" w:customStyle="1" w:styleId="38">
    <w:name w:val="标准文件_段"/>
    <w:qFormat/>
    <w:uiPriority w:val="0"/>
    <w:pPr>
      <w:widowControl w:val="0"/>
      <w:tabs>
        <w:tab w:val="left" w:pos="3969"/>
      </w:tabs>
      <w:adjustRightInd w:val="0"/>
      <w:spacing w:line="300" w:lineRule="auto"/>
      <w:ind w:firstLine="428" w:firstLineChars="200"/>
    </w:pPr>
    <w:rPr>
      <w:rFonts w:cs="Times New Roman" w:asciiTheme="minorEastAsia" w:hAnsiTheme="minorEastAsia" w:eastAsiaTheme="minorEastAsia"/>
      <w:color w:val="000000"/>
      <w:spacing w:val="2"/>
      <w:kern w:val="2"/>
      <w:sz w:val="21"/>
      <w:szCs w:val="21"/>
      <w:lang w:val="en-US" w:eastAsia="zh-CN" w:bidi="ar-SA"/>
    </w:rPr>
  </w:style>
  <w:style w:type="paragraph" w:customStyle="1" w:styleId="39">
    <w:name w:val="标准文件_章标题"/>
    <w:next w:val="1"/>
    <w:qFormat/>
    <w:uiPriority w:val="0"/>
    <w:pPr>
      <w:numPr>
        <w:ilvl w:val="1"/>
        <w:numId w:val="1"/>
      </w:numPr>
      <w:spacing w:beforeLines="50" w:afterLines="50"/>
      <w:ind w:right="-50" w:rightChars="-50"/>
      <w:jc w:val="both"/>
      <w:outlineLvl w:val="1"/>
    </w:pPr>
    <w:rPr>
      <w:rFonts w:ascii="SimHei" w:hAnsi="Times New Roman" w:eastAsia="SimHei" w:cs="Times New Roman"/>
      <w:spacing w:val="2"/>
      <w:sz w:val="21"/>
      <w:lang w:val="en-US" w:eastAsia="zh-CN" w:bidi="ar-SA"/>
    </w:rPr>
  </w:style>
  <w:style w:type="paragraph" w:customStyle="1" w:styleId="40">
    <w:name w:val="标准正文"/>
    <w:basedOn w:val="41"/>
    <w:qFormat/>
    <w:uiPriority w:val="0"/>
    <w:pPr>
      <w:tabs>
        <w:tab w:val="center" w:pos="4201"/>
        <w:tab w:val="right" w:leader="dot" w:pos="9298"/>
      </w:tabs>
      <w:autoSpaceDE/>
      <w:autoSpaceDN/>
      <w:spacing w:line="300" w:lineRule="auto"/>
      <w:ind w:firstLine="200"/>
    </w:pPr>
  </w:style>
  <w:style w:type="paragraph" w:customStyle="1" w:styleId="41">
    <w:name w:val="段"/>
    <w:qFormat/>
    <w:uiPriority w:val="99"/>
    <w:pPr>
      <w:tabs>
        <w:tab w:val="center" w:pos="4201"/>
        <w:tab w:val="right" w:leader="dot" w:pos="9298"/>
      </w:tabs>
      <w:autoSpaceDE w:val="0"/>
      <w:autoSpaceDN w:val="0"/>
      <w:ind w:firstLine="420" w:firstLineChars="200"/>
      <w:jc w:val="both"/>
    </w:pPr>
    <w:rPr>
      <w:rFonts w:ascii="SimSun" w:hAnsi="Times New Roman" w:eastAsia="SimSun" w:cs="Times New Roman"/>
      <w:sz w:val="21"/>
      <w:lang w:val="en-US" w:eastAsia="zh-CN" w:bidi="ar-SA"/>
    </w:rPr>
  </w:style>
  <w:style w:type="paragraph" w:customStyle="1" w:styleId="42">
    <w:name w:val="正文-表题"/>
    <w:basedOn w:val="1"/>
    <w:qFormat/>
    <w:uiPriority w:val="0"/>
    <w:pPr>
      <w:tabs>
        <w:tab w:val="right" w:leader="dot" w:pos="9344"/>
      </w:tabs>
      <w:spacing w:before="50" w:beforeLines="50" w:after="50" w:afterLines="50" w:line="240" w:lineRule="auto"/>
      <w:ind w:left="0" w:firstLine="0" w:firstLineChars="0"/>
      <w:jc w:val="center"/>
    </w:pPr>
    <w:rPr>
      <w:rFonts w:hint="default" w:ascii="Times New Roman" w:hAnsi="Times New Roman" w:eastAsia="SimHei"/>
      <w:sz w:val="21"/>
    </w:rPr>
  </w:style>
  <w:style w:type="paragraph" w:customStyle="1" w:styleId="43">
    <w:name w:val="正文-表格文字"/>
    <w:basedOn w:val="1"/>
    <w:qFormat/>
    <w:uiPriority w:val="0"/>
    <w:pPr>
      <w:tabs>
        <w:tab w:val="right" w:leader="dot" w:pos="9344"/>
      </w:tabs>
      <w:spacing w:line="240" w:lineRule="auto"/>
      <w:ind w:firstLine="0" w:firstLineChars="0"/>
      <w:jc w:val="center"/>
    </w:pPr>
    <w:rPr>
      <w:rFonts w:hint="eastAsia" w:ascii="Times New Roman" w:hAnsi="Times New Roman" w:eastAsia="SimSun"/>
      <w:sz w:val="18"/>
    </w:rPr>
  </w:style>
  <w:style w:type="paragraph" w:customStyle="1" w:styleId="44">
    <w:name w:val="商发正文"/>
    <w:qFormat/>
    <w:locked/>
    <w:uiPriority w:val="5"/>
    <w:pPr>
      <w:widowControl w:val="0"/>
      <w:adjustRightInd w:val="0"/>
      <w:snapToGrid w:val="0"/>
      <w:spacing w:line="360" w:lineRule="auto"/>
      <w:ind w:firstLine="480" w:firstLineChars="200"/>
      <w:jc w:val="both"/>
    </w:pPr>
    <w:rPr>
      <w:rFonts w:ascii="Times New Roman" w:hAnsi="Times New Roman" w:eastAsia="SimSun" w:cs="Times New Roman"/>
      <w:color w:val="000000"/>
      <w:kern w:val="2"/>
      <w:sz w:val="24"/>
      <w:szCs w:val="21"/>
      <w:lang w:val="en-US" w:eastAsia="zh-CN" w:bidi="ar-SA"/>
    </w:rPr>
  </w:style>
  <w:style w:type="paragraph" w:customStyle="1" w:styleId="45">
    <w:name w:val="标准文件_附录标识"/>
    <w:next w:val="8"/>
    <w:qFormat/>
    <w:uiPriority w:val="0"/>
    <w:pPr>
      <w:numPr>
        <w:ilvl w:val="0"/>
        <w:numId w:val="2"/>
      </w:numPr>
      <w:shd w:val="clear" w:color="FFFFFF" w:fill="FFFFFF"/>
      <w:tabs>
        <w:tab w:val="left" w:pos="6405"/>
      </w:tabs>
      <w:spacing w:before="640" w:after="160"/>
      <w:jc w:val="center"/>
      <w:outlineLvl w:val="0"/>
    </w:pPr>
    <w:rPr>
      <w:rFonts w:ascii="SimHei" w:hAnsi="Times New Roman" w:eastAsia="SimHei" w:cs="Times New Roman"/>
      <w:sz w:val="21"/>
      <w:lang w:val="en-US" w:eastAsia="zh-CN" w:bidi="ar-SA"/>
    </w:rPr>
  </w:style>
  <w:style w:type="paragraph" w:customStyle="1" w:styleId="46">
    <w:name w:val="附录标题"/>
    <w:basedOn w:val="41"/>
    <w:next w:val="41"/>
    <w:qFormat/>
    <w:uiPriority w:val="0"/>
    <w:pPr>
      <w:spacing w:after="283"/>
      <w:ind w:firstLine="0" w:firstLineChars="0"/>
      <w:jc w:val="center"/>
    </w:pPr>
    <w:rPr>
      <w:rFonts w:ascii="SimHei" w:hAnsi="SimHei" w:eastAsia="SimHei"/>
    </w:rPr>
  </w:style>
  <w:style w:type="paragraph" w:customStyle="1" w:styleId="47">
    <w:name w:val="2级标题"/>
    <w:basedOn w:val="48"/>
    <w:next w:val="40"/>
    <w:qFormat/>
    <w:uiPriority w:val="0"/>
    <w:pPr>
      <w:numPr>
        <w:numId w:val="0"/>
      </w:numPr>
      <w:spacing w:before="200" w:after="200"/>
      <w:outlineLvl w:val="1"/>
    </w:pPr>
  </w:style>
  <w:style w:type="paragraph" w:customStyle="1" w:styleId="48">
    <w:name w:val="1级标题"/>
    <w:basedOn w:val="1"/>
    <w:next w:val="40"/>
    <w:qFormat/>
    <w:uiPriority w:val="0"/>
    <w:pPr>
      <w:numPr>
        <w:ilvl w:val="0"/>
        <w:numId w:val="3"/>
      </w:numPr>
      <w:spacing w:before="300" w:after="300" w:line="300" w:lineRule="auto"/>
      <w:outlineLvl w:val="0"/>
    </w:pPr>
    <w:rPr>
      <w:rFonts w:ascii="SimHei" w:eastAsia="SimHei" w:cs="Times New Roman"/>
      <w:szCs w:val="21"/>
    </w:rPr>
  </w:style>
  <w:style w:type="paragraph" w:customStyle="1" w:styleId="49">
    <w:name w:val="3级标题"/>
    <w:basedOn w:val="47"/>
    <w:next w:val="40"/>
    <w:qFormat/>
    <w:uiPriority w:val="0"/>
    <w:pPr>
      <w:numPr>
        <w:ilvl w:val="2"/>
      </w:numPr>
      <w:outlineLvl w:val="2"/>
    </w:p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6.bin"/><Relationship Id="rId97" Type="http://schemas.openxmlformats.org/officeDocument/2006/relationships/image" Target="media/image46.wmf"/><Relationship Id="rId96" Type="http://schemas.openxmlformats.org/officeDocument/2006/relationships/oleObject" Target="embeddings/oleObject45.bin"/><Relationship Id="rId95" Type="http://schemas.openxmlformats.org/officeDocument/2006/relationships/image" Target="media/image45.wmf"/><Relationship Id="rId94" Type="http://schemas.openxmlformats.org/officeDocument/2006/relationships/oleObject" Target="embeddings/oleObject44.bin"/><Relationship Id="rId93" Type="http://schemas.openxmlformats.org/officeDocument/2006/relationships/image" Target="media/image44.wmf"/><Relationship Id="rId92" Type="http://schemas.openxmlformats.org/officeDocument/2006/relationships/oleObject" Target="embeddings/oleObject43.bin"/><Relationship Id="rId91" Type="http://schemas.openxmlformats.org/officeDocument/2006/relationships/image" Target="media/image43.wmf"/><Relationship Id="rId90" Type="http://schemas.openxmlformats.org/officeDocument/2006/relationships/oleObject" Target="embeddings/oleObject42.bin"/><Relationship Id="rId9" Type="http://schemas.openxmlformats.org/officeDocument/2006/relationships/image" Target="media/image2.wmf"/><Relationship Id="rId89" Type="http://schemas.openxmlformats.org/officeDocument/2006/relationships/image" Target="media/image42.wmf"/><Relationship Id="rId88" Type="http://schemas.openxmlformats.org/officeDocument/2006/relationships/oleObject" Target="embeddings/oleObject41.bin"/><Relationship Id="rId87" Type="http://schemas.openxmlformats.org/officeDocument/2006/relationships/image" Target="media/image41.wmf"/><Relationship Id="rId86" Type="http://schemas.openxmlformats.org/officeDocument/2006/relationships/oleObject" Target="embeddings/oleObject40.bin"/><Relationship Id="rId85" Type="http://schemas.openxmlformats.org/officeDocument/2006/relationships/image" Target="media/image40.wmf"/><Relationship Id="rId84" Type="http://schemas.openxmlformats.org/officeDocument/2006/relationships/oleObject" Target="embeddings/oleObject39.bin"/><Relationship Id="rId83" Type="http://schemas.openxmlformats.org/officeDocument/2006/relationships/image" Target="media/image39.wmf"/><Relationship Id="rId82" Type="http://schemas.openxmlformats.org/officeDocument/2006/relationships/oleObject" Target="embeddings/oleObject38.bin"/><Relationship Id="rId81" Type="http://schemas.openxmlformats.org/officeDocument/2006/relationships/image" Target="media/image38.wmf"/><Relationship Id="rId80" Type="http://schemas.openxmlformats.org/officeDocument/2006/relationships/oleObject" Target="embeddings/oleObject37.bin"/><Relationship Id="rId8" Type="http://schemas.openxmlformats.org/officeDocument/2006/relationships/oleObject" Target="embeddings/oleObject1.bin"/><Relationship Id="rId79" Type="http://schemas.openxmlformats.org/officeDocument/2006/relationships/image" Target="media/image37.wmf"/><Relationship Id="rId78" Type="http://schemas.openxmlformats.org/officeDocument/2006/relationships/oleObject" Target="embeddings/oleObject36.bin"/><Relationship Id="rId77" Type="http://schemas.openxmlformats.org/officeDocument/2006/relationships/image" Target="media/image36.wmf"/><Relationship Id="rId76" Type="http://schemas.openxmlformats.org/officeDocument/2006/relationships/oleObject" Target="embeddings/oleObject35.bin"/><Relationship Id="rId75" Type="http://schemas.openxmlformats.org/officeDocument/2006/relationships/image" Target="media/image35.wmf"/><Relationship Id="rId74" Type="http://schemas.openxmlformats.org/officeDocument/2006/relationships/oleObject" Target="embeddings/oleObject34.bin"/><Relationship Id="rId73" Type="http://schemas.openxmlformats.org/officeDocument/2006/relationships/image" Target="media/image34.wmf"/><Relationship Id="rId72" Type="http://schemas.openxmlformats.org/officeDocument/2006/relationships/oleObject" Target="embeddings/oleObject33.bin"/><Relationship Id="rId71" Type="http://schemas.openxmlformats.org/officeDocument/2006/relationships/image" Target="media/image33.wmf"/><Relationship Id="rId70" Type="http://schemas.openxmlformats.org/officeDocument/2006/relationships/oleObject" Target="embeddings/oleObject32.bin"/><Relationship Id="rId7" Type="http://schemas.openxmlformats.org/officeDocument/2006/relationships/image" Target="media/image1.png"/><Relationship Id="rId69" Type="http://schemas.openxmlformats.org/officeDocument/2006/relationships/image" Target="media/image32.wmf"/><Relationship Id="rId68" Type="http://schemas.openxmlformats.org/officeDocument/2006/relationships/oleObject" Target="embeddings/oleObject31.bin"/><Relationship Id="rId67" Type="http://schemas.openxmlformats.org/officeDocument/2006/relationships/image" Target="media/image31.wmf"/><Relationship Id="rId66" Type="http://schemas.openxmlformats.org/officeDocument/2006/relationships/oleObject" Target="embeddings/oleObject30.bin"/><Relationship Id="rId65" Type="http://schemas.openxmlformats.org/officeDocument/2006/relationships/image" Target="media/image30.wmf"/><Relationship Id="rId64" Type="http://schemas.openxmlformats.org/officeDocument/2006/relationships/oleObject" Target="embeddings/oleObject29.bin"/><Relationship Id="rId63" Type="http://schemas.openxmlformats.org/officeDocument/2006/relationships/image" Target="media/image29.wmf"/><Relationship Id="rId62" Type="http://schemas.openxmlformats.org/officeDocument/2006/relationships/oleObject" Target="embeddings/oleObject28.bin"/><Relationship Id="rId61" Type="http://schemas.openxmlformats.org/officeDocument/2006/relationships/image" Target="media/image28.wmf"/><Relationship Id="rId60" Type="http://schemas.openxmlformats.org/officeDocument/2006/relationships/oleObject" Target="embeddings/oleObject27.bin"/><Relationship Id="rId6" Type="http://schemas.openxmlformats.org/officeDocument/2006/relationships/theme" Target="theme/theme1.xml"/><Relationship Id="rId59" Type="http://schemas.openxmlformats.org/officeDocument/2006/relationships/image" Target="media/image27.wmf"/><Relationship Id="rId58" Type="http://schemas.openxmlformats.org/officeDocument/2006/relationships/oleObject" Target="embeddings/oleObject26.bin"/><Relationship Id="rId57" Type="http://schemas.openxmlformats.org/officeDocument/2006/relationships/image" Target="media/image26.wmf"/><Relationship Id="rId56" Type="http://schemas.openxmlformats.org/officeDocument/2006/relationships/oleObject" Target="embeddings/oleObject25.bin"/><Relationship Id="rId55" Type="http://schemas.openxmlformats.org/officeDocument/2006/relationships/image" Target="media/image25.wmf"/><Relationship Id="rId54" Type="http://schemas.openxmlformats.org/officeDocument/2006/relationships/oleObject" Target="embeddings/oleObject24.bin"/><Relationship Id="rId53" Type="http://schemas.openxmlformats.org/officeDocument/2006/relationships/image" Target="media/image24.wmf"/><Relationship Id="rId52" Type="http://schemas.openxmlformats.org/officeDocument/2006/relationships/oleObject" Target="embeddings/oleObject23.bin"/><Relationship Id="rId51" Type="http://schemas.openxmlformats.org/officeDocument/2006/relationships/image" Target="media/image23.wmf"/><Relationship Id="rId50" Type="http://schemas.openxmlformats.org/officeDocument/2006/relationships/oleObject" Target="embeddings/oleObject22.bin"/><Relationship Id="rId5" Type="http://schemas.openxmlformats.org/officeDocument/2006/relationships/footer" Target="footer1.xml"/><Relationship Id="rId49" Type="http://schemas.openxmlformats.org/officeDocument/2006/relationships/image" Target="media/image22.wmf"/><Relationship Id="rId48" Type="http://schemas.openxmlformats.org/officeDocument/2006/relationships/oleObject" Target="embeddings/oleObject21.bin"/><Relationship Id="rId47" Type="http://schemas.openxmlformats.org/officeDocument/2006/relationships/image" Target="media/image21.wmf"/><Relationship Id="rId46" Type="http://schemas.openxmlformats.org/officeDocument/2006/relationships/oleObject" Target="embeddings/oleObject20.bin"/><Relationship Id="rId45" Type="http://schemas.openxmlformats.org/officeDocument/2006/relationships/image" Target="media/image20.wmf"/><Relationship Id="rId44" Type="http://schemas.openxmlformats.org/officeDocument/2006/relationships/oleObject" Target="embeddings/oleObject19.bin"/><Relationship Id="rId43" Type="http://schemas.openxmlformats.org/officeDocument/2006/relationships/image" Target="media/image19.wmf"/><Relationship Id="rId42" Type="http://schemas.openxmlformats.org/officeDocument/2006/relationships/oleObject" Target="embeddings/oleObject18.bin"/><Relationship Id="rId41" Type="http://schemas.openxmlformats.org/officeDocument/2006/relationships/image" Target="media/image18.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image" Target="media/image17.wmf"/><Relationship Id="rId38" Type="http://schemas.openxmlformats.org/officeDocument/2006/relationships/oleObject" Target="embeddings/oleObject16.bin"/><Relationship Id="rId37" Type="http://schemas.openxmlformats.org/officeDocument/2006/relationships/image" Target="media/image16.wmf"/><Relationship Id="rId36" Type="http://schemas.openxmlformats.org/officeDocument/2006/relationships/oleObject" Target="embeddings/oleObject15.bin"/><Relationship Id="rId35" Type="http://schemas.openxmlformats.org/officeDocument/2006/relationships/image" Target="media/image15.wmf"/><Relationship Id="rId34" Type="http://schemas.openxmlformats.org/officeDocument/2006/relationships/oleObject" Target="embeddings/oleObject14.bin"/><Relationship Id="rId33" Type="http://schemas.openxmlformats.org/officeDocument/2006/relationships/image" Target="media/image14.wmf"/><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11.bin"/><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image" Target="media/image6.wmf"/><Relationship Id="rId16" Type="http://schemas.openxmlformats.org/officeDocument/2006/relationships/oleObject" Target="embeddings/oleObject5.bin"/><Relationship Id="rId15" Type="http://schemas.openxmlformats.org/officeDocument/2006/relationships/image" Target="media/image5.wmf"/><Relationship Id="rId14" Type="http://schemas.openxmlformats.org/officeDocument/2006/relationships/oleObject" Target="embeddings/oleObject4.bin"/><Relationship Id="rId130" Type="http://schemas.openxmlformats.org/officeDocument/2006/relationships/fontTable" Target="fontTable.xml"/><Relationship Id="rId13" Type="http://schemas.openxmlformats.org/officeDocument/2006/relationships/image" Target="media/image4.wmf"/><Relationship Id="rId129" Type="http://schemas.openxmlformats.org/officeDocument/2006/relationships/numbering" Target="numbering.xml"/><Relationship Id="rId128" Type="http://schemas.openxmlformats.org/officeDocument/2006/relationships/customXml" Target="../customXml/item1.xml"/><Relationship Id="rId127" Type="http://schemas.openxmlformats.org/officeDocument/2006/relationships/image" Target="media/image61.wmf"/><Relationship Id="rId126" Type="http://schemas.openxmlformats.org/officeDocument/2006/relationships/oleObject" Target="embeddings/oleObject60.bin"/><Relationship Id="rId125" Type="http://schemas.openxmlformats.org/officeDocument/2006/relationships/image" Target="media/image60.wmf"/><Relationship Id="rId124" Type="http://schemas.openxmlformats.org/officeDocument/2006/relationships/oleObject" Target="embeddings/oleObject59.bin"/><Relationship Id="rId123" Type="http://schemas.openxmlformats.org/officeDocument/2006/relationships/image" Target="media/image59.wmf"/><Relationship Id="rId122" Type="http://schemas.openxmlformats.org/officeDocument/2006/relationships/oleObject" Target="embeddings/oleObject58.bin"/><Relationship Id="rId121" Type="http://schemas.openxmlformats.org/officeDocument/2006/relationships/image" Target="media/image58.wmf"/><Relationship Id="rId120" Type="http://schemas.openxmlformats.org/officeDocument/2006/relationships/oleObject" Target="embeddings/oleObject57.bin"/><Relationship Id="rId12" Type="http://schemas.openxmlformats.org/officeDocument/2006/relationships/oleObject" Target="embeddings/oleObject3.bin"/><Relationship Id="rId119" Type="http://schemas.openxmlformats.org/officeDocument/2006/relationships/image" Target="media/image57.wmf"/><Relationship Id="rId118" Type="http://schemas.openxmlformats.org/officeDocument/2006/relationships/oleObject" Target="embeddings/oleObject56.bin"/><Relationship Id="rId117" Type="http://schemas.openxmlformats.org/officeDocument/2006/relationships/image" Target="media/image56.wmf"/><Relationship Id="rId116" Type="http://schemas.openxmlformats.org/officeDocument/2006/relationships/oleObject" Target="embeddings/oleObject55.bin"/><Relationship Id="rId115" Type="http://schemas.openxmlformats.org/officeDocument/2006/relationships/image" Target="media/image55.wmf"/><Relationship Id="rId114" Type="http://schemas.openxmlformats.org/officeDocument/2006/relationships/oleObject" Target="embeddings/oleObject54.bin"/><Relationship Id="rId113" Type="http://schemas.openxmlformats.org/officeDocument/2006/relationships/image" Target="media/image54.wmf"/><Relationship Id="rId112" Type="http://schemas.openxmlformats.org/officeDocument/2006/relationships/oleObject" Target="embeddings/oleObject53.bin"/><Relationship Id="rId111" Type="http://schemas.openxmlformats.org/officeDocument/2006/relationships/image" Target="media/image53.wmf"/><Relationship Id="rId110" Type="http://schemas.openxmlformats.org/officeDocument/2006/relationships/oleObject" Target="embeddings/oleObject52.bin"/><Relationship Id="rId11" Type="http://schemas.openxmlformats.org/officeDocument/2006/relationships/image" Target="media/image3.wmf"/><Relationship Id="rId109" Type="http://schemas.openxmlformats.org/officeDocument/2006/relationships/image" Target="media/image52.wmf"/><Relationship Id="rId108" Type="http://schemas.openxmlformats.org/officeDocument/2006/relationships/oleObject" Target="embeddings/oleObject51.bin"/><Relationship Id="rId107" Type="http://schemas.openxmlformats.org/officeDocument/2006/relationships/image" Target="media/image51.wmf"/><Relationship Id="rId106" Type="http://schemas.openxmlformats.org/officeDocument/2006/relationships/oleObject" Target="embeddings/oleObject50.bin"/><Relationship Id="rId105" Type="http://schemas.openxmlformats.org/officeDocument/2006/relationships/image" Target="media/image50.wmf"/><Relationship Id="rId104" Type="http://schemas.openxmlformats.org/officeDocument/2006/relationships/oleObject" Target="embeddings/oleObject49.bin"/><Relationship Id="rId103" Type="http://schemas.openxmlformats.org/officeDocument/2006/relationships/image" Target="media/image49.wmf"/><Relationship Id="rId102" Type="http://schemas.openxmlformats.org/officeDocument/2006/relationships/oleObject" Target="embeddings/oleObject48.bin"/><Relationship Id="rId101" Type="http://schemas.openxmlformats.org/officeDocument/2006/relationships/image" Target="media/image48.wmf"/><Relationship Id="rId100" Type="http://schemas.openxmlformats.org/officeDocument/2006/relationships/oleObject" Target="embeddings/oleObject47.bin"/><Relationship Id="rId10" Type="http://schemas.openxmlformats.org/officeDocument/2006/relationships/oleObject" Target="embeddings/oleObject2.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10714</Words>
  <Characters>12987</Characters>
  <Lines>36</Lines>
  <Paragraphs>10</Paragraphs>
  <TotalTime>4</TotalTime>
  <ScaleCrop>false</ScaleCrop>
  <LinksUpToDate>false</LinksUpToDate>
  <CharactersWithSpaces>13852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2023-08-29T02:15:00Z</dcterms:created>
  <dc:creator>张健珩</dc:creator>
  <cp:lastModifiedBy>YC</cp:lastModifiedBy>
  <cp:lastPrinted>2019-12-18T13:46:00Z</cp:lastPrinted>
  <dcterms:modified xsi:type="dcterms:W3CDTF">2025-01-10T08:11:29Z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9B96065024EF4B438ECC2AF7571799D7_13</vt:lpwstr>
  </property>
  <property fmtid="{D5CDD505-2E9C-101B-9397-08002B2CF9AE}" pid="4" name="KSOTemplateDocerSaveRecord">
    <vt:lpwstr>eyJoZGlkIjoiZjVhNGJiMWVmZTg4ZjFhYWZhYWFiMzBkODkwYWRkZmUiLCJ1c2VySWQiOiIyNTYyODUzMjkifQ==</vt:lpwstr>
  </property>
</Properties>
</file>